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100"/>
        <w:ind w:left="0" w:right="0" w:hanging="0"/>
        <w:jc w:val="center"/>
        <w:rPr/>
      </w:pPr>
      <w:bookmarkStart w:id="0" w:name="kro-20260513x8k.htm"/>
      <w:bookmarkStart w:id="1" w:name="kskro20260513x8k"/>
      <w:bookmarkEnd w:id="0"/>
      <w:bookmarkEnd w:id="1"/>
      <w:r>
        <w:rPr/>
        <w:t>​</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a97651ca_0186_4f00_9c26_f8e513daaa49"/>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May 13, 2026</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KRONOS WORLDWIDE,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6AFFKgOu30aiirTM0OQAoA_3_4"/>
      <w:bookmarkStart w:id="4" w:name="Tc_ZB7ulsK5NEe_A2LcUi31Ow_3_2"/>
      <w:bookmarkStart w:id="5" w:name="Tc_KDfr4wAAs0Osq3KGVSf04w_3_0"/>
      <w:bookmarkStart w:id="6" w:name="Tc_4VsCajro_0y7j2pJZ2tQcg_2_4"/>
      <w:bookmarkStart w:id="7" w:name="Tc_j4aWxBh3lkG0VUjNwy7I0w_2_2"/>
      <w:bookmarkStart w:id="8" w:name="Tc__8b7Bi_mM0SAcr0tIv7kXQ_2_0"/>
      <w:bookmarkStart w:id="9" w:name="_5e741f64_bdc4_44cd_a4e4_9ba0bbf2d3e1"/>
      <w:bookmarkStart w:id="10" w:name="Tc_6AFFKgOu30aiirTM0OQAoA_3_4"/>
      <w:bookmarkStart w:id="11" w:name="Tc_ZB7ulsK5NEe_A2LcUi31Ow_3_2"/>
      <w:bookmarkStart w:id="12" w:name="Tc_KDfr4wAAs0Osq3KGVSf04w_3_0"/>
      <w:bookmarkStart w:id="13" w:name="Tc_4VsCajro_0y7j2pJZ2tQcg_2_4"/>
      <w:bookmarkStart w:id="14" w:name="Tc_j4aWxBh3lkG0VUjNwy7I0w_2_2"/>
      <w:bookmarkStart w:id="15" w:name="Tc__8b7Bi_mM0SAcr0tIv7kXQ_2_0"/>
      <w:bookmarkStart w:id="16" w:name="_5e741f64_bdc4_44cd_a4e4_9ba0bbf2d3e1"/>
      <w:bookmarkEnd w:id="10"/>
      <w:bookmarkEnd w:id="11"/>
      <w:bookmarkEnd w:id="12"/>
      <w:bookmarkEnd w:id="13"/>
      <w:bookmarkEnd w:id="14"/>
      <w:bookmarkEnd w:id="15"/>
      <w:bookmarkEnd w:id="16"/>
    </w:p>
    <w:tbl>
      <w:tblPr>
        <w:tblW w:w="5990" w:type="dxa"/>
        <w:jc w:val="left"/>
        <w:tblInd w:w="0" w:type="dxa"/>
        <w:tblLayout w:type="fixed"/>
        <w:tblCellMar>
          <w:top w:w="0" w:type="dxa"/>
          <w:left w:w="0" w:type="dxa"/>
          <w:bottom w:w="0" w:type="dxa"/>
          <w:right w:w="0" w:type="dxa"/>
        </w:tblCellMar>
      </w:tblPr>
      <w:tblGrid>
        <w:gridCol w:w="2461"/>
        <w:gridCol w:w="346"/>
        <w:gridCol w:w="1186"/>
        <w:gridCol w:w="346"/>
        <w:gridCol w:w="1651"/>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562735" cy="175260"/>
                      <wp:effectExtent l="0" t="0" r="0" b="0"/>
                      <wp:wrapNone/>
                      <wp:docPr id="1" name="Frame1"/>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753110" cy="175260"/>
                      <wp:effectExtent l="0" t="0" r="0" b="0"/>
                      <wp:wrapNone/>
                      <wp:docPr id="3" name="Frame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048385" cy="175260"/>
                      <wp:effectExtent l="0" t="0" r="0" b="0"/>
                      <wp:wrapNone/>
                      <wp:docPr id="5" name="Frame5"/>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pBdr/>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Delaware</w:t>
            </w:r>
          </w:p>
        </w:tc>
        <w:tc>
          <w:tcPr>
            <w:tcW w:w="346" w:type="dxa"/>
            <w:tcBorders/>
            <w:vAlign w:val="center"/>
          </w:tcPr>
          <w:p>
            <w:pPr>
              <w:pStyle w:val="TableContents"/>
              <w:bidi w:val="0"/>
              <w:spacing w:before="0" w:after="0"/>
              <w:ind w:left="0" w:right="0" w:hanging="0"/>
              <w:jc w:val="left"/>
              <w:rPr/>
            </w:pPr>
            <w:r>
              <w:rPr/>
              <w:t>  ​ ​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1-31763</w:t>
            </w:r>
          </w:p>
        </w:tc>
        <w:tc>
          <w:tcPr>
            <w:tcW w:w="346" w:type="dxa"/>
            <w:tcBorders/>
            <w:vAlign w:val="center"/>
          </w:tcPr>
          <w:p>
            <w:pPr>
              <w:pStyle w:val="TableContents"/>
              <w:bidi w:val="0"/>
              <w:spacing w:before="0" w:after="0"/>
              <w:ind w:left="0" w:right="0" w:hanging="0"/>
              <w:jc w:val="left"/>
              <w:rPr/>
            </w:pPr>
            <w:r>
              <w:rPr/>
              <w:t>  ​ ​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76-0294959</w:t>
            </w:r>
          </w:p>
        </w:tc>
      </w:tr>
      <w:tr>
        <w:trPr/>
        <w:tc>
          <w:tcPr>
            <w:tcW w:w="246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4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061" w:type="dxa"/>
        <w:jc w:val="left"/>
        <w:tblInd w:w="0" w:type="dxa"/>
        <w:tblLayout w:type="fixed"/>
        <w:tblCellMar>
          <w:top w:w="0" w:type="dxa"/>
          <w:left w:w="0" w:type="dxa"/>
          <w:bottom w:w="0" w:type="dxa"/>
          <w:right w:w="0" w:type="dxa"/>
        </w:tblCellMar>
      </w:tblPr>
      <w:tblGrid>
        <w:gridCol w:w="4756"/>
        <w:gridCol w:w="540"/>
        <w:gridCol w:w="765"/>
      </w:tblGrid>
      <w:tr>
        <w:trPr/>
        <w:tc>
          <w:tcPr>
            <w:tcW w:w="4756" w:type="dxa"/>
            <w:tcBorders/>
            <w:vAlign w:val="center"/>
          </w:tcPr>
          <w:p>
            <w:pPr>
              <w:pStyle w:val="TableContents"/>
              <w:bidi w:val="0"/>
              <w:spacing w:before="0" w:after="0"/>
              <w:ind w:left="0" w:right="0" w:hanging="0"/>
              <w:jc w:val="left"/>
              <w:rPr/>
            </w:pPr>
            <w:r>
              <w:rPr/>
              <w:t>​</w:t>
            </w:r>
          </w:p>
        </w:tc>
        <w:tc>
          <w:tcPr>
            <w:tcW w:w="540"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283"/>
              <w:ind w:left="0" w:right="0" w:hanging="0"/>
              <w:jc w:val="left"/>
              <w:rPr>
                <w:sz w:val="4"/>
                <w:szCs w:val="4"/>
              </w:rPr>
            </w:pPr>
            <w:r>
              <w:rPr>
                <w:sz w:val="4"/>
                <w:szCs w:val="4"/>
              </w:rPr>
            </w:r>
          </w:p>
        </w:tc>
      </w:tr>
      <w:tr>
        <w:trPr/>
        <w:tc>
          <w:tcPr>
            <w:tcW w:w="475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b/>
                <w:sz w:val="24"/>
              </w:rPr>
              <w:t>5430 LBJ Freeway, Suite 1700, Dallas, Texas</w:t>
            </w:r>
            <w:r>
              <w:rPr>
                <w:rFonts w:ascii="Times New Roman;Times;serif" w:hAnsi="Times New Roman;Times;serif"/>
                <w:sz w:val="24"/>
              </w:rPr>
              <w:t xml:space="preserve"> </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p>
            <w:pPr>
              <w:pStyle w:val="TableContents"/>
              <w:bidi w:val="0"/>
              <w:spacing w:before="0" w:after="0"/>
              <w:ind w:left="0" w:right="0" w:hanging="0"/>
              <w:jc w:val="center"/>
              <w:rPr/>
            </w:pPr>
            <w:r>
              <w:rPr/>
              <w:t>​</w:t>
            </w:r>
          </w:p>
        </w:tc>
        <w:tc>
          <w:tcPr>
            <w:tcW w:w="1305" w:type="dxa"/>
            <w:gridSpan w:val="2"/>
            <w:tcBorders/>
            <w:vAlign w:val="center"/>
          </w:tcPr>
          <w:p>
            <w:pPr>
              <w:pStyle w:val="TableContents"/>
              <w:bidi w:val="0"/>
              <w:spacing w:before="0" w:after="0"/>
              <w:ind w:left="936" w:right="0" w:hanging="0"/>
              <w:jc w:val="center"/>
              <w:rPr>
                <w:rFonts w:ascii="Times New Roman;Times;serif" w:hAnsi="Times New Roman;Times;serif"/>
                <w:b/>
                <w:sz w:val="24"/>
              </w:rPr>
            </w:pPr>
            <w:r>
              <w:rPr>
                <w:rFonts w:ascii="Times New Roman;Times;serif" w:hAnsi="Times New Roman;Times;serif"/>
                <w:b/>
                <w:sz w:val="24"/>
              </w:rPr>
              <w:t>75240-2620</w:t>
            </w:r>
          </w:p>
          <w:p>
            <w:pPr>
              <w:pStyle w:val="TableContents"/>
              <w:bidi w:val="0"/>
              <w:spacing w:before="0" w:after="0"/>
              <w:ind w:left="936"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100"/>
        <w:ind w:left="0" w:right="0" w:hanging="0"/>
        <w:jc w:val="center"/>
        <w:rPr>
          <w:rFonts w:ascii="Times New Roman;Times;serif" w:hAnsi="Times New Roman;Times;serif"/>
          <w:b/>
          <w:sz w:val="24"/>
        </w:rPr>
      </w:pPr>
      <w:r>
        <w:rPr>
          <w:rFonts w:ascii="Times New Roman;Times;serif" w:hAnsi="Times New Roman;Times;serif"/>
          <w:b/>
          <w:sz w:val="24"/>
        </w:rPr>
        <w:t>(972) 233-1700</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w:t>
      </w:r>
      <w:r>
        <w:rPr>
          <w:rFonts w:ascii="Times New Roman;Times;serif" w:hAnsi="Times New Roman;Times;serif"/>
          <w:i/>
          <w:sz w:val="20"/>
        </w:rPr>
        <w:t>see</w:t>
      </w:r>
      <w:r>
        <w:rPr>
          <w:rFonts w:ascii="Times New Roman;Times;serif" w:hAnsi="Times New Roman;Times;serif"/>
          <w:sz w:val="20"/>
        </w:rPr>
        <w:t xml:space="preserve"> General Instruction A.2.):</w:t>
      </w:r>
    </w:p>
    <w:p>
      <w:pPr>
        <w:pStyle w:val="TextBody"/>
        <w:bidi w:val="0"/>
        <w:spacing w:before="0" w:after="200"/>
        <w:ind w:left="0" w:right="0" w:hanging="0"/>
        <w:jc w:val="both"/>
        <w:rPr/>
      </w:pPr>
      <w:r>
        <w:rPr/>
        <w:t>​</w:t>
      </w:r>
    </w:p>
    <w:tbl>
      <w:tblPr>
        <w:tblW w:w="7851" w:type="dxa"/>
        <w:jc w:val="left"/>
        <w:tblInd w:w="0" w:type="dxa"/>
        <w:tblLayout w:type="fixed"/>
        <w:tblCellMar>
          <w:top w:w="0" w:type="dxa"/>
          <w:left w:w="0" w:type="dxa"/>
          <w:bottom w:w="0" w:type="dxa"/>
          <w:right w:w="0" w:type="dxa"/>
        </w:tblCellMar>
      </w:tblPr>
      <w:tblGrid>
        <w:gridCol w:w="124"/>
        <w:gridCol w:w="31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74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pBdr/>
        <w:bidi w:val="0"/>
        <w:spacing w:before="0" w:after="0"/>
        <w:ind w:left="360" w:right="0" w:hanging="360"/>
        <w:jc w:val="left"/>
        <w:rPr/>
      </w:pPr>
      <w:r>
        <w:rPr/>
        <w:t>​</w:t>
      </w:r>
    </w:p>
    <w:tbl>
      <w:tblPr>
        <w:tblW w:w="7881" w:type="dxa"/>
        <w:jc w:val="left"/>
        <w:tblInd w:w="0" w:type="dxa"/>
        <w:tblLayout w:type="fixed"/>
        <w:tblCellMar>
          <w:top w:w="0" w:type="dxa"/>
          <w:left w:w="0" w:type="dxa"/>
          <w:bottom w:w="0" w:type="dxa"/>
          <w:right w:w="0" w:type="dxa"/>
        </w:tblCellMar>
      </w:tblPr>
      <w:tblGrid>
        <w:gridCol w:w="124"/>
        <w:gridCol w:w="31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74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pBdr/>
        <w:bidi w:val="0"/>
        <w:spacing w:before="0" w:after="0"/>
        <w:ind w:left="360" w:right="0" w:hanging="360"/>
        <w:jc w:val="left"/>
        <w:rPr/>
      </w:pPr>
      <w:r>
        <w:rPr/>
        <w:t>​</w:t>
      </w:r>
    </w:p>
    <w:tbl>
      <w:tblPr>
        <w:tblW w:w="9546" w:type="dxa"/>
        <w:jc w:val="left"/>
        <w:tblInd w:w="0" w:type="dxa"/>
        <w:tblLayout w:type="fixed"/>
        <w:tblCellMar>
          <w:top w:w="0" w:type="dxa"/>
          <w:left w:w="0" w:type="dxa"/>
          <w:bottom w:w="0" w:type="dxa"/>
          <w:right w:w="0" w:type="dxa"/>
        </w:tblCellMar>
      </w:tblPr>
      <w:tblGrid>
        <w:gridCol w:w="124"/>
        <w:gridCol w:w="31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10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 pursuant to Rule 14d-2(b) under the Exchange Act (17 CFR 240.14d-2(b))</w:t>
            </w:r>
          </w:p>
        </w:tc>
      </w:tr>
    </w:tbl>
    <w:p>
      <w:pPr>
        <w:pStyle w:val="TextBody"/>
        <w:pBdr/>
        <w:bidi w:val="0"/>
        <w:spacing w:before="0" w:after="0"/>
        <w:ind w:left="360" w:right="0" w:hanging="360"/>
        <w:jc w:val="left"/>
        <w:rPr/>
      </w:pPr>
      <w:r>
        <w:rPr/>
        <w:t>​</w:t>
      </w:r>
    </w:p>
    <w:tbl>
      <w:tblPr>
        <w:tblW w:w="9486" w:type="dxa"/>
        <w:jc w:val="left"/>
        <w:tblInd w:w="0" w:type="dxa"/>
        <w:tblLayout w:type="fixed"/>
        <w:tblCellMar>
          <w:top w:w="0" w:type="dxa"/>
          <w:left w:w="0" w:type="dxa"/>
          <w:bottom w:w="0" w:type="dxa"/>
          <w:right w:w="0" w:type="dxa"/>
        </w:tblCellMar>
      </w:tblPr>
      <w:tblGrid>
        <w:gridCol w:w="124"/>
        <w:gridCol w:w="31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04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00"/>
        <w:ind w:left="0" w:right="0" w:hanging="0"/>
        <w:jc w:val="both"/>
        <w:rPr/>
      </w:pPr>
      <w:r>
        <w:rPr/>
        <w:t>​</w:t>
      </w:r>
    </w:p>
    <w:p>
      <w:pPr>
        <w:pStyle w:val="Normal"/>
        <w:bidi w:val="0"/>
        <w:spacing w:before="0" w:after="0"/>
        <w:jc w:val="left"/>
        <w:rPr>
          <w:sz w:val="4"/>
          <w:szCs w:val="4"/>
        </w:rPr>
      </w:pPr>
      <w:r>
        <w:rPr>
          <w:sz w:val="4"/>
          <w:szCs w:val="4"/>
        </w:rPr>
      </w:r>
      <w:bookmarkStart w:id="17" w:name="Tc_u_Ruy6zZQ0-lrPdNX39Vxw_1_4"/>
      <w:bookmarkStart w:id="18" w:name="Tc_rwICmqvpDEeDwDVvcxRsAQ_1_2"/>
      <w:bookmarkStart w:id="19" w:name="Tc_H2MMWQZrZ02F7uG8-Ff2jQ_1_0"/>
      <w:bookmarkStart w:id="20" w:name="_45a3b938_1884_42d1_833e_d4bb07408e5d"/>
      <w:bookmarkStart w:id="21" w:name="Tc_u_Ruy6zZQ0-lrPdNX39Vxw_1_4"/>
      <w:bookmarkStart w:id="22" w:name="Tc_rwICmqvpDEeDwDVvcxRsAQ_1_2"/>
      <w:bookmarkStart w:id="23" w:name="Tc_H2MMWQZrZ02F7uG8-Ff2jQ_1_0"/>
      <w:bookmarkStart w:id="24" w:name="_45a3b938_1884_42d1_833e_d4bb07408e5d"/>
      <w:bookmarkEnd w:id="21"/>
      <w:bookmarkEnd w:id="22"/>
      <w:bookmarkEnd w:id="23"/>
      <w:bookmarkEnd w:id="24"/>
    </w:p>
    <w:tbl>
      <w:tblPr>
        <w:tblW w:w="7006" w:type="dxa"/>
        <w:jc w:val="left"/>
        <w:tblInd w:w="0" w:type="dxa"/>
        <w:tblLayout w:type="fixed"/>
        <w:tblCellMar>
          <w:top w:w="0" w:type="dxa"/>
          <w:left w:w="0" w:type="dxa"/>
          <w:bottom w:w="0" w:type="dxa"/>
          <w:right w:w="0" w:type="dxa"/>
        </w:tblCellMar>
      </w:tblPr>
      <w:tblGrid>
        <w:gridCol w:w="1396"/>
        <w:gridCol w:w="346"/>
        <w:gridCol w:w="1456"/>
        <w:gridCol w:w="346"/>
        <w:gridCol w:w="3271"/>
        <w:gridCol w:w="191"/>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886460" cy="175260"/>
                      <wp:effectExtent l="0" t="0" r="0" b="0"/>
                      <wp:wrapNone/>
                      <wp:docPr id="6" name="Frame6"/>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924560" cy="175260"/>
                      <wp:effectExtent l="0" t="0" r="0" b="0"/>
                      <wp:wrapNone/>
                      <wp:docPr id="8" name="Frame8"/>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7085" cy="175260"/>
                      <wp:effectExtent l="0" t="0" r="0" b="0"/>
                      <wp:wrapNone/>
                      <wp:docPr id="10" name="Frame10"/>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21285" cy="175260"/>
                      <wp:effectExtent l="0" t="0" r="0" b="0"/>
                      <wp:wrapNone/>
                      <wp:docPr id="11" name="Frame1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32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1396" w:type="dxa"/>
            <w:tcBorders>
              <w:top w:val="single" w:sz="2" w:space="0" w:color="000000"/>
            </w:tcBorders>
            <w:tcMar>
              <w:top w:w="28" w:type="dxa"/>
            </w:tcMar>
            <w:vAlign w:val="center"/>
          </w:tcPr>
          <w:p>
            <w:pPr>
              <w:pStyle w:val="TableContents"/>
              <w:pBdr/>
              <w:bidi w:val="0"/>
              <w:spacing w:before="60" w:after="0"/>
              <w:ind w:left="0" w:right="0" w:hanging="0"/>
              <w:jc w:val="center"/>
              <w:rPr>
                <w:rFonts w:ascii="Times New Roman;Times;serif" w:hAnsi="Times New Roman;Times;serif"/>
                <w:sz w:val="16"/>
              </w:rPr>
            </w:pPr>
            <w:r>
              <w:rPr>
                <w:rFonts w:ascii="Times New Roman;Times;serif" w:hAnsi="Times New Roman;Times;serif"/>
                <w:sz w:val="16"/>
              </w:rPr>
              <w:t>Common Stock</w:t>
            </w:r>
          </w:p>
        </w:tc>
        <w:tc>
          <w:tcPr>
            <w:tcW w:w="346" w:type="dxa"/>
            <w:tcBorders/>
            <w:vAlign w:val="center"/>
          </w:tcPr>
          <w:p>
            <w:pPr>
              <w:pStyle w:val="TableContents"/>
              <w:bidi w:val="0"/>
              <w:spacing w:before="60" w:after="0"/>
              <w:ind w:left="0" w:right="0" w:hanging="0"/>
              <w:jc w:val="left"/>
              <w:rPr/>
            </w:pPr>
            <w:r>
              <w:rPr/>
              <w:t>​</w:t>
            </w:r>
          </w:p>
        </w:tc>
        <w:tc>
          <w:tcPr>
            <w:tcW w:w="1456" w:type="dxa"/>
            <w:tcBorders>
              <w:top w:val="single" w:sz="2" w:space="0" w:color="000000"/>
            </w:tcBorders>
            <w:tcMar>
              <w:top w:w="28" w:type="dxa"/>
            </w:tcMar>
            <w:vAlign w:val="center"/>
          </w:tcPr>
          <w:p>
            <w:pPr>
              <w:pStyle w:val="TableContents"/>
              <w:bidi w:val="0"/>
              <w:spacing w:before="60" w:after="0"/>
              <w:ind w:left="0" w:right="0" w:hanging="0"/>
              <w:jc w:val="center"/>
              <w:rPr>
                <w:rFonts w:ascii="Times New Roman;Times;serif" w:hAnsi="Times New Roman;Times;serif"/>
                <w:sz w:val="16"/>
              </w:rPr>
            </w:pPr>
            <w:r>
              <w:rPr>
                <w:rFonts w:ascii="Times New Roman;Times;serif" w:hAnsi="Times New Roman;Times;serif"/>
                <w:sz w:val="16"/>
              </w:rPr>
              <w:t>KRO</w:t>
            </w:r>
          </w:p>
        </w:tc>
        <w:tc>
          <w:tcPr>
            <w:tcW w:w="346" w:type="dxa"/>
            <w:tcBorders/>
            <w:vAlign w:val="center"/>
          </w:tcPr>
          <w:p>
            <w:pPr>
              <w:pStyle w:val="TableContents"/>
              <w:bidi w:val="0"/>
              <w:spacing w:before="60" w:after="0"/>
              <w:ind w:left="0" w:right="0" w:hanging="0"/>
              <w:jc w:val="left"/>
              <w:rPr/>
            </w:pPr>
            <w:r>
              <w:rPr/>
              <w:t>​</w:t>
            </w:r>
          </w:p>
        </w:tc>
        <w:tc>
          <w:tcPr>
            <w:tcW w:w="3271" w:type="dxa"/>
            <w:tcBorders>
              <w:top w:val="single" w:sz="2" w:space="0" w:color="000000"/>
            </w:tcBorders>
            <w:tcMar>
              <w:top w:w="28" w:type="dxa"/>
            </w:tcMar>
            <w:vAlign w:val="center"/>
          </w:tcPr>
          <w:p>
            <w:pPr>
              <w:pStyle w:val="TableContents"/>
              <w:bidi w:val="0"/>
              <w:spacing w:before="60" w:after="0"/>
              <w:ind w:left="0" w:right="0" w:hanging="0"/>
              <w:jc w:val="center"/>
              <w:rPr>
                <w:rFonts w:ascii="Times New Roman;Times;serif" w:hAnsi="Times New Roman;Times;serif"/>
                <w:sz w:val="16"/>
              </w:rPr>
            </w:pPr>
            <w:r>
              <w:rPr>
                <w:rFonts w:ascii="Times New Roman;Times;serif" w:hAnsi="Times New Roman;Times;serif"/>
                <w:sz w:val="16"/>
              </w:rPr>
              <w:t>New York Stock Exchange</w:t>
            </w:r>
          </w:p>
        </w:tc>
        <w:tc>
          <w:tcPr>
            <w:tcW w:w="191" w:type="dxa"/>
            <w:tcBorders/>
            <w:vAlign w:val="center"/>
          </w:tcPr>
          <w:p>
            <w:pPr>
              <w:pStyle w:val="TableContents"/>
              <w:bidi w:val="0"/>
              <w:spacing w:before="6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00"/>
        <w:ind w:left="0" w:right="0" w:hanging="0"/>
        <w:jc w:val="both"/>
        <w:rPr/>
      </w:pPr>
      <w:r>
        <w:rPr/>
        <w:t>​</w:t>
      </w:r>
    </w:p>
    <w:p>
      <w:pPr>
        <w:pStyle w:val="TextBody"/>
        <w:pBdr>
          <w:top w:val="single" w:sz="8" w:space="1" w:color="000000"/>
          <w:bottom w:val="single" w:sz="24" w:space="1" w:color="000000"/>
        </w:pBdr>
        <w:bidi w:val="0"/>
        <w:spacing w:before="0" w:after="200"/>
        <w:ind w:left="0" w:right="0" w:hanging="0"/>
        <w:jc w:val="center"/>
        <w:rPr/>
      </w:pPr>
      <w:r>
        <w:rPr/>
        <w:t>​</w:t>
      </w:r>
    </w:p>
    <w:p>
      <w:pPr>
        <w:pStyle w:val="TextBody"/>
        <w:bidi w:val="0"/>
        <w:spacing w:before="0" w:after="200"/>
        <w:ind w:left="0" w:right="0" w:hanging="0"/>
        <w:jc w:val="both"/>
        <w:rPr/>
      </w:pPr>
      <w:r>
        <w:rPr/>
        <w:t>​</w:t>
      </w:r>
    </w:p>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left"/>
        <w:rPr/>
      </w:pPr>
      <w:r>
        <w:rPr/>
        <w:t>​</w:t>
      </w:r>
    </w:p>
    <w:p>
      <w:pPr>
        <w:pStyle w:val="Normal"/>
        <w:bidi w:val="0"/>
        <w:spacing w:before="0" w:after="0"/>
        <w:jc w:val="left"/>
        <w:rPr>
          <w:sz w:val="4"/>
          <w:szCs w:val="4"/>
        </w:rPr>
      </w:pPr>
      <w:r>
        <w:rPr>
          <w:sz w:val="4"/>
          <w:szCs w:val="4"/>
        </w:rPr>
      </w:r>
      <w:bookmarkStart w:id="25" w:name="_7adefeb4_0f8c_4356_9031_d7b4b5a70c50"/>
      <w:bookmarkStart w:id="26" w:name="_7adefeb4_0f8c_4356_9031_d7b4b5a70c50"/>
      <w:bookmarkEnd w:id="26"/>
    </w:p>
    <w:tbl>
      <w:tblPr>
        <w:tblW w:w="5339" w:type="dxa"/>
        <w:jc w:val="left"/>
        <w:tblInd w:w="0" w:type="dxa"/>
        <w:tblLayout w:type="fixed"/>
        <w:tblCellMar>
          <w:top w:w="0" w:type="dxa"/>
          <w:left w:w="0" w:type="dxa"/>
          <w:bottom w:w="0" w:type="dxa"/>
          <w:right w:w="0" w:type="dxa"/>
        </w:tblCellMar>
      </w:tblPr>
      <w:tblGrid>
        <w:gridCol w:w="898"/>
        <w:gridCol w:w="4441"/>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5.07</w:t>
            </w:r>
          </w:p>
        </w:tc>
        <w:tc>
          <w:tcPr>
            <w:tcW w:w="4441"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Submission of Matters to a Vote of Security Holders.</w:t>
            </w:r>
          </w:p>
        </w:tc>
      </w:tr>
    </w:tbl>
    <w:p>
      <w:pPr>
        <w:pStyle w:val="TextBody"/>
        <w:pBdr/>
        <w:bidi w:val="0"/>
        <w:spacing w:before="0" w:after="0"/>
        <w:ind w:left="0" w:right="0" w:hanging="1440"/>
        <w:jc w:val="left"/>
        <w:rPr>
          <w:spacing w:val="-3"/>
        </w:rPr>
      </w:pPr>
      <w:r>
        <w:rPr>
          <w:spacing w:val="-3"/>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pacing w:val="-3"/>
          <w:sz w:val="20"/>
        </w:rPr>
        <w:t xml:space="preserve">The registrant held its 2026 annual meeting of stockholders on May 13, 2026. At the 2026 annual meeting, the registrant’s stockholders voted on the two proposals described in detail in the registrant’s definitive proxy statement on Schedule 14A filed with the U.S. Securities and Exchange Commission on March 24, 2026. Stockholders present at the 2026 annual meeting, either in person or by proxy, represented 93.2% of the </w:t>
      </w:r>
      <w:r>
        <w:rPr>
          <w:rFonts w:ascii="Arial MT" w:hAnsi="Arial MT"/>
          <w:sz w:val="20"/>
        </w:rPr>
        <w:t xml:space="preserve">115,053,116 </w:t>
      </w:r>
      <w:r>
        <w:rPr>
          <w:rFonts w:ascii="Times New Roman;Times;serif" w:hAnsi="Times New Roman;Times;serif"/>
          <w:spacing w:val="-3"/>
          <w:sz w:val="20"/>
        </w:rPr>
        <w:t>shares eligible to vote at the meeting.</w:t>
      </w:r>
    </w:p>
    <w:p>
      <w:pPr>
        <w:pStyle w:val="TextBody"/>
        <w:bidi w:val="0"/>
        <w:spacing w:before="0" w:after="0"/>
        <w:ind w:left="0" w:right="0" w:firstLine="720"/>
        <w:jc w:val="left"/>
        <w:rPr>
          <w:spacing w:val="-3"/>
        </w:rPr>
      </w:pPr>
      <w:r>
        <w:rPr>
          <w:spacing w:val="-3"/>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mallCaps/>
          <w:spacing w:val="-3"/>
          <w:sz w:val="20"/>
        </w:rPr>
        <w:t>Proposal 1: Election of Director</w:t>
      </w:r>
      <w:r>
        <w:rPr>
          <w:rFonts w:ascii="Times New Roman;Times;serif" w:hAnsi="Times New Roman;Times;serif"/>
          <w:i/>
          <w:smallCaps/>
          <w:spacing w:val="-3"/>
          <w:sz w:val="20"/>
        </w:rPr>
        <w:t>s</w:t>
      </w:r>
    </w:p>
    <w:p>
      <w:pPr>
        <w:pStyle w:val="TextBody"/>
        <w:bidi w:val="0"/>
        <w:spacing w:before="0" w:after="0"/>
        <w:ind w:left="0" w:right="0" w:firstLine="720"/>
        <w:jc w:val="left"/>
        <w:rPr>
          <w:spacing w:val="-3"/>
        </w:rPr>
      </w:pPr>
      <w:r>
        <w:rPr>
          <w:spacing w:val="-3"/>
        </w:rPr>
        <w:t>​</w:t>
      </w:r>
    </w:p>
    <w:p>
      <w:pPr>
        <w:pStyle w:val="TextBody"/>
        <w:bidi w:val="0"/>
        <w:spacing w:before="0" w:after="0"/>
        <w:ind w:left="0" w:right="0" w:firstLine="720"/>
        <w:jc w:val="left"/>
        <w:rPr>
          <w:rFonts w:ascii="Times New Roman;Times;serif" w:hAnsi="Times New Roman;Times;serif"/>
          <w:spacing w:val="-3"/>
          <w:sz w:val="20"/>
        </w:rPr>
      </w:pPr>
      <w:r>
        <w:rPr>
          <w:rFonts w:ascii="Times New Roman;Times;serif" w:hAnsi="Times New Roman;Times;serif"/>
          <w:spacing w:val="-3"/>
          <w:sz w:val="20"/>
        </w:rPr>
        <w:t xml:space="preserve">The registrant’s stockholders elected Mr. Brian W. Christian, Ms. Loretta J. Feehan, Mr. John E. Harper, Mr. Kevin B. Kramer, Ms. Meredith W. Mendes, Mr. Cecil H. Moore, Jr., Mr. Michael S. Simmons and Dr. R. Gerald Turner as directors. Each director nominee received votes “For” his or her election from at least 85.6% of the shares eligible to vote at the annual meeting. </w:t>
      </w:r>
    </w:p>
    <w:p>
      <w:pPr>
        <w:pStyle w:val="TextBody"/>
        <w:bidi w:val="0"/>
        <w:spacing w:before="0" w:after="0"/>
        <w:ind w:left="0" w:right="0" w:firstLine="720"/>
        <w:jc w:val="left"/>
        <w:rPr>
          <w:spacing w:val="-3"/>
        </w:rPr>
      </w:pPr>
      <w:r>
        <w:rPr>
          <w:spacing w:val="-3"/>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mallCaps/>
          <w:spacing w:val="-3"/>
          <w:sz w:val="20"/>
        </w:rPr>
        <w:t xml:space="preserve">Proposal 2: </w:t>
      </w:r>
      <w:r>
        <w:rPr>
          <w:rFonts w:ascii="Times New Roman;Times;serif" w:hAnsi="Times New Roman;Times;serif"/>
          <w:smallCaps/>
          <w:sz w:val="20"/>
        </w:rPr>
        <w:t>Say-on-Pay, Nonbinding Advisory Vote Approving Executive Compensation</w:t>
      </w:r>
    </w:p>
    <w:p>
      <w:pPr>
        <w:pStyle w:val="TextBody"/>
        <w:bidi w:val="0"/>
        <w:spacing w:before="0" w:after="0"/>
        <w:ind w:left="0" w:right="0" w:firstLine="720"/>
        <w:jc w:val="left"/>
        <w:rPr>
          <w:spacing w:val="-3"/>
        </w:rPr>
      </w:pPr>
      <w:r>
        <w:rPr>
          <w:spacing w:val="-3"/>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pacing w:val="-3"/>
          <w:sz w:val="20"/>
        </w:rPr>
        <w:t xml:space="preserve">The registrant’s stockholders adopted </w:t>
      </w:r>
      <w:r>
        <w:rPr>
          <w:rFonts w:ascii="Times New Roman;Times;serif" w:hAnsi="Times New Roman;Times;serif"/>
          <w:sz w:val="20"/>
        </w:rPr>
        <w:t xml:space="preserve">a resolution, on a nonbinding advisory basis, approving the compensation of the registrant’s named executive officers as described in the registrant’s 2026 proxy statement. The resolution received the approval from 86.3% of the shares eligible to vote at the annual meeting. </w:t>
      </w:r>
    </w:p>
    <w:p>
      <w:pPr>
        <w:pStyle w:val="TextBody"/>
        <w:pBdr/>
        <w:bidi w:val="0"/>
        <w:spacing w:before="0" w:after="0"/>
        <w:ind w:left="0" w:right="0" w:hanging="1440"/>
        <w:jc w:val="left"/>
        <w:rPr>
          <w:spacing w:val="-3"/>
        </w:rPr>
      </w:pPr>
      <w:r>
        <w:rPr>
          <w:spacing w:val="-3"/>
        </w:rPr>
        <w:t>​</w:t>
      </w:r>
    </w:p>
    <w:p>
      <w:pPr>
        <w:pStyle w:val="Normal"/>
        <w:bidi w:val="0"/>
        <w:spacing w:before="0" w:after="0"/>
        <w:jc w:val="left"/>
        <w:rPr>
          <w:sz w:val="4"/>
          <w:szCs w:val="4"/>
        </w:rPr>
      </w:pPr>
      <w:r>
        <w:rPr>
          <w:sz w:val="4"/>
          <w:szCs w:val="4"/>
        </w:rPr>
      </w:r>
      <w:bookmarkStart w:id="27" w:name="_301e70cd_d2e0_4f91_8a33_ea9ac0cd660f"/>
      <w:bookmarkStart w:id="28" w:name="_301e70cd_d2e0_4f91_8a33_ea9ac0cd660f"/>
      <w:bookmarkEnd w:id="28"/>
    </w:p>
    <w:tbl>
      <w:tblPr>
        <w:tblW w:w="3194" w:type="dxa"/>
        <w:jc w:val="left"/>
        <w:tblInd w:w="0" w:type="dxa"/>
        <w:tblLayout w:type="fixed"/>
        <w:tblCellMar>
          <w:top w:w="0" w:type="dxa"/>
          <w:left w:w="0" w:type="dxa"/>
          <w:bottom w:w="0" w:type="dxa"/>
          <w:right w:w="0" w:type="dxa"/>
        </w:tblCellMar>
      </w:tblPr>
      <w:tblGrid>
        <w:gridCol w:w="898"/>
        <w:gridCol w:w="2296"/>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7.01</w:t>
            </w:r>
          </w:p>
        </w:tc>
        <w:tc>
          <w:tcPr>
            <w:tcW w:w="2296"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Regulation FD Disclosure.</w:t>
            </w:r>
          </w:p>
        </w:tc>
      </w:tr>
    </w:tbl>
    <w:p>
      <w:pPr>
        <w:pStyle w:val="TextBody"/>
        <w:bidi w:val="0"/>
        <w:spacing w:before="0" w:after="0"/>
        <w:ind w:left="0" w:right="0" w:firstLine="72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registrant hereby furnishes the information set forth in its press release issued on May 13, 2026, a copy of which is attached as Exhibit 99.1 and incorporated herein by reference. The information the registrant furnishes in this report under this Item 7.01, and the exhibit in Item 9.01,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pStyle w:val="TextBody"/>
        <w:pBdr/>
        <w:shd w:fill="FFFFFF" w:val="clear"/>
        <w:bidi w:val="0"/>
        <w:spacing w:before="0" w:after="0"/>
        <w:ind w:left="0" w:right="0" w:hanging="1440"/>
        <w:jc w:val="both"/>
        <w:rPr/>
      </w:pPr>
      <w:r>
        <w:rPr/>
        <w:t>​</w:t>
      </w:r>
    </w:p>
    <w:p>
      <w:pPr>
        <w:pStyle w:val="TextBody"/>
        <w:shd w:fill="FFFFFF" w:val="clear"/>
        <w:bidi w:val="0"/>
        <w:spacing w:before="0" w:after="0"/>
        <w:ind w:left="0" w:right="0" w:hanging="0"/>
        <w:jc w:val="left"/>
        <w:rPr>
          <w:rFonts w:ascii="Times New Roman;Times;serif" w:hAnsi="Times New Roman;Times;serif"/>
          <w:sz w:val="20"/>
        </w:rPr>
      </w:pPr>
      <w:bookmarkStart w:id="29" w:name="_83a1203f_f227_4994_82c0_52a6389598b7"/>
      <w:bookmarkEnd w:id="29"/>
      <w:r>
        <w:rPr>
          <w:rFonts w:ascii="Times New Roman;Times;serif" w:hAnsi="Times New Roman;Times;serif"/>
          <w:b/>
          <w:i w:val="false"/>
          <w:caps w:val="false"/>
          <w:smallCaps w:val="false"/>
          <w:sz w:val="20"/>
          <w:shd w:fill="FFFFFF" w:val="clear"/>
        </w:rPr>
        <w:t>Item 9.01</w:t>
      </w:r>
      <w:r>
        <w:rPr>
          <w:rFonts w:ascii="Times New Roman;Times;serif" w:hAnsi="Times New Roman;Times;serif"/>
          <w:b/>
          <w:sz w:val="20"/>
        </w:rPr>
        <w:t>Financial Statements and Exhibits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shd w:fill="FFFFFF" w:val="clear"/>
        </w:rPr>
        <w:t>(d)</w:t>
      </w:r>
      <w:r>
        <w:rPr>
          <w:rFonts w:ascii="Times New Roman;Times;serif" w:hAnsi="Times New Roman;Times;serif"/>
          <w:b/>
          <w:sz w:val="20"/>
        </w:rPr>
        <w:t>Exhibits</w:t>
      </w:r>
    </w:p>
    <w:p>
      <w:pPr>
        <w:pStyle w:val="TextBody"/>
        <w:shd w:fill="FFFFFF" w:val="clear"/>
        <w:bidi w:val="0"/>
        <w:spacing w:before="0" w:after="0"/>
        <w:ind w:left="0" w:right="0" w:hanging="0"/>
        <w:jc w:val="both"/>
        <w:rPr/>
      </w:pPr>
      <w:r>
        <w:rPr/>
        <w:t>​</w:t>
      </w:r>
    </w:p>
    <w:tbl>
      <w:tblPr>
        <w:tblW w:w="5282" w:type="dxa"/>
        <w:jc w:val="left"/>
        <w:tblInd w:w="0" w:type="dxa"/>
        <w:tblLayout w:type="fixed"/>
        <w:tblCellMar>
          <w:top w:w="0" w:type="dxa"/>
          <w:left w:w="0" w:type="dxa"/>
          <w:bottom w:w="0" w:type="dxa"/>
          <w:right w:w="0" w:type="dxa"/>
        </w:tblCellMar>
      </w:tblPr>
      <w:tblGrid>
        <w:gridCol w:w="481"/>
        <w:gridCol w:w="4801"/>
      </w:tblGrid>
      <w:tr>
        <w:trPr/>
        <w:tc>
          <w:tcPr>
            <w:tcW w:w="48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99.1</w:t>
            </w:r>
          </w:p>
        </w:tc>
        <w:tc>
          <w:tcPr>
            <w:tcW w:w="4801" w:type="dxa"/>
            <w:tcBorders/>
            <w:vAlign w:val="center"/>
          </w:tcPr>
          <w:p>
            <w:pPr>
              <w:pStyle w:val="TableContents"/>
              <w:bidi w:val="0"/>
              <w:spacing w:before="0" w:after="0"/>
              <w:jc w:val="left"/>
              <w:rPr/>
            </w:pPr>
            <w:hyperlink w:anchor="kro-20260513xex99d1.htm">
              <w:r>
                <w:rPr>
                  <w:rStyle w:val="InternetLink"/>
                  <w:rFonts w:ascii="Times New Roman;Times;serif" w:hAnsi="Times New Roman;Times;serif"/>
                  <w:b w:val="false"/>
                  <w:i w:val="false"/>
                  <w:caps w:val="false"/>
                  <w:smallCaps w:val="false"/>
                  <w:sz w:val="20"/>
                </w:rPr>
                <w:t>Press release dated May 13, 2026 issued by the registrant.</w:t>
              </w:r>
            </w:hyperlink>
          </w:p>
        </w:tc>
      </w:tr>
    </w:tbl>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104</w:t>
      </w:r>
      <w:r>
        <w:rPr>
          <w:rFonts w:ascii="Times New Roman;Times;serif" w:hAnsi="Times New Roman;Times;serif"/>
          <w:sz w:val="20"/>
        </w:rPr>
        <w:t>Cover Page Interactive Data File (embedded within Inline XBRL document).</w:t>
      </w:r>
    </w:p>
    <w:p>
      <w:pPr>
        <w:pStyle w:val="TextBody"/>
        <w:bidi w:val="0"/>
        <w:spacing w:before="0" w:after="0"/>
        <w:ind w:left="0" w:right="0" w:hanging="0"/>
        <w:jc w:val="left"/>
        <w:rPr/>
      </w:pPr>
      <w:r>
        <w:rPr/>
        <w:t>​</w:t>
      </w:r>
    </w:p>
    <w:p>
      <w:pPr>
        <w:pStyle w:val="TextBody"/>
        <w:pBdr/>
        <w:bidi w:val="0"/>
        <w:spacing w:before="0" w:after="0"/>
        <w:ind w:left="0" w:right="0" w:hanging="1440"/>
        <w:jc w:val="left"/>
        <w:rPr>
          <w:spacing w:val="-3"/>
        </w:rPr>
      </w:pPr>
      <w:r>
        <w:rPr>
          <w:spacing w:val="-3"/>
        </w:rPr>
        <w:t>​</w:t>
      </w:r>
    </w:p>
    <w:p>
      <w:pPr>
        <w:pStyle w:val="TextBody"/>
        <w:bidi w:val="0"/>
        <w:spacing w:before="0" w:after="240"/>
        <w:ind w:left="0" w:right="0" w:hanging="0"/>
        <w:jc w:val="center"/>
        <w:rPr>
          <w:rFonts w:ascii="Times New Roman;Times;serif" w:hAnsi="Times New Roman;Times;serif"/>
          <w:b/>
          <w:sz w:val="20"/>
        </w:rPr>
      </w:pPr>
      <w:bookmarkStart w:id="30" w:name="_8e7fdb21_f1b4_438b_8dac_b353472aa6a1"/>
      <w:bookmarkEnd w:id="30"/>
      <w:r>
        <w:rPr>
          <w:rFonts w:ascii="Times New Roman;Times;serif" w:hAnsi="Times New Roman;Times;serif"/>
          <w:b/>
          <w:sz w:val="20"/>
        </w:rPr>
        <w:t>SIGNATURE</w:t>
      </w:r>
    </w:p>
    <w:p>
      <w:pPr>
        <w:pStyle w:val="TextBody"/>
        <w:bidi w:val="0"/>
        <w:spacing w:before="0" w:after="0"/>
        <w:ind w:left="0" w:right="0" w:hanging="0"/>
        <w:jc w:val="center"/>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6393" w:type="dxa"/>
        <w:jc w:val="left"/>
        <w:tblInd w:w="0" w:type="dxa"/>
        <w:tblLayout w:type="fixed"/>
        <w:tblCellMar>
          <w:top w:w="0" w:type="dxa"/>
          <w:left w:w="0" w:type="dxa"/>
          <w:bottom w:w="0" w:type="dxa"/>
          <w:right w:w="0" w:type="dxa"/>
        </w:tblCellMar>
      </w:tblPr>
      <w:tblGrid>
        <w:gridCol w:w="1741"/>
        <w:gridCol w:w="406"/>
        <w:gridCol w:w="4246"/>
      </w:tblGrid>
      <w:tr>
        <w:trPr/>
        <w:tc>
          <w:tcPr>
            <w:tcW w:w="17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465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KRONOS WORLDWIDE, INC.</w:t>
            </w:r>
          </w:p>
        </w:tc>
      </w:tr>
      <w:tr>
        <w:trPr/>
        <w:tc>
          <w:tcPr>
            <w:tcW w:w="1741" w:type="dxa"/>
            <w:tcBorders/>
            <w:vAlign w:val="center"/>
          </w:tcPr>
          <w:p>
            <w:pPr>
              <w:pStyle w:val="TableContents"/>
              <w:bidi w:val="0"/>
              <w:spacing w:before="0" w:after="0"/>
              <w:ind w:left="0" w:right="0" w:hanging="0"/>
              <w:jc w:val="left"/>
              <w:rPr/>
            </w:pPr>
            <w:r>
              <w:rPr/>
              <w:t>​</w:t>
            </w:r>
          </w:p>
        </w:tc>
        <w:tc>
          <w:tcPr>
            <w:tcW w:w="465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741" w:type="dxa"/>
            <w:tcBorders/>
            <w:vAlign w:val="center"/>
          </w:tcPr>
          <w:p>
            <w:pPr>
              <w:pStyle w:val="TableContents"/>
              <w:bidi w:val="0"/>
              <w:spacing w:before="0" w:after="0"/>
              <w:ind w:left="0" w:right="0" w:hanging="0"/>
              <w:jc w:val="left"/>
              <w:rPr/>
            </w:pPr>
            <w:r>
              <w:rPr/>
              <w:t>​</w:t>
            </w:r>
          </w:p>
        </w:tc>
        <w:tc>
          <w:tcPr>
            <w:tcW w:w="4652" w:type="dxa"/>
            <w:gridSpan w:val="2"/>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4652" w:type="dxa"/>
            <w:gridSpan w:val="2"/>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Bradley E. Troutman</w:t>
            </w:r>
          </w:p>
        </w:tc>
      </w:tr>
      <w:tr>
        <w:trPr/>
        <w:tc>
          <w:tcPr>
            <w:tcW w:w="17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Bradley E. Troutman,</w:t>
            </w:r>
          </w:p>
        </w:tc>
      </w:tr>
      <w:tr>
        <w:trPr/>
        <w:tc>
          <w:tcPr>
            <w:tcW w:w="174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and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 w:name="kro-20260513xex99d1.htm"/>
      <w:bookmarkStart w:id="32" w:name="kskro20260513xex99d1"/>
      <w:bookmarkStart w:id="33" w:name="kro-20260513xex99d1.htm"/>
      <w:bookmarkStart w:id="34" w:name="kskro20260513xex99d1"/>
      <w:bookmarkEnd w:id="33"/>
      <w:bookmarkEnd w:id="34"/>
      <w:r>
        <w:br w:type="page"/>
      </w:r>
    </w:p>
    <w:tbl>
      <w:tblPr>
        <w:tblW w:w="3739" w:type="dxa"/>
        <w:jc w:val="left"/>
        <w:tblInd w:w="0" w:type="dxa"/>
        <w:tblLayout w:type="fixed"/>
        <w:tblCellMar>
          <w:top w:w="0" w:type="dxa"/>
          <w:left w:w="0" w:type="dxa"/>
          <w:bottom w:w="0" w:type="dxa"/>
          <w:right w:w="0" w:type="dxa"/>
        </w:tblCellMar>
      </w:tblPr>
      <w:tblGrid>
        <w:gridCol w:w="3739"/>
      </w:tblGrid>
      <w:tr>
        <w:trPr/>
        <w:tc>
          <w:tcPr>
            <w:tcW w:w="3739" w:type="dxa"/>
            <w:tcBorders/>
            <w:vAlign w:val="center"/>
          </w:tcPr>
          <w:p>
            <w:pPr>
              <w:pStyle w:val="TableContents"/>
              <w:bidi w:val="0"/>
              <w:spacing w:before="0" w:after="0"/>
              <w:ind w:left="0" w:right="0" w:hanging="0"/>
              <w:jc w:val="left"/>
              <w:rPr/>
            </w:pPr>
            <w:r>
              <w:rPr/>
              <w:t>​</w:t>
            </w:r>
          </w:p>
        </w:tc>
      </w:tr>
      <w:tr>
        <w:trPr/>
        <w:tc>
          <w:tcPr>
            <w:tcW w:w="3739" w:type="dxa"/>
            <w:tcBorders/>
            <w:vAlign w:val="center"/>
          </w:tcPr>
          <w:p>
            <w:pPr>
              <w:pStyle w:val="TableContents"/>
              <w:bidi w:val="0"/>
              <w:spacing w:before="0" w:after="0"/>
              <w:jc w:val="left"/>
              <w:rPr/>
            </w:pPr>
            <w:r>
              <w:rPr/>
              <w:drawing>
                <wp:inline distT="0" distB="0" distL="0" distR="0">
                  <wp:extent cx="2281555" cy="739140"/>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2281555" cy="739140"/>
                          </a:xfrm>
                          <a:prstGeom prst="rect">
                            <a:avLst/>
                          </a:prstGeom>
                        </pic:spPr>
                      </pic:pic>
                    </a:graphicData>
                  </a:graphic>
                </wp:inline>
              </w:drawing>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i/>
          <w:sz w:val="20"/>
        </w:rPr>
      </w:pPr>
      <w:r>
        <w:rPr>
          <w:rFonts w:ascii="Times New Roman;Times;serif" w:hAnsi="Times New Roman;Times;serif"/>
          <w:b/>
          <w:i w:val="false"/>
          <w:caps w:val="false"/>
          <w:smallCaps w:val="false"/>
          <w:sz w:val="24"/>
        </w:rPr>
        <w:t>KRONOS WORLDWIDE, INC. ANNOUNCES QUARTERLY DIVIDEND</w:t>
      </w:r>
      <w:r>
        <w:rPr>
          <w:rFonts w:ascii="Arial;Helvetica;sans-serif" w:hAnsi="Arial;Helvetica;sans-serif"/>
          <w:i/>
          <w:caps w:val="false"/>
          <w:smallCaps w:val="false"/>
          <w:sz w:val="20"/>
        </w:rPr>
        <w:t xml:space="preserve"> </w:t>
      </w:r>
      <w:r>
        <w:rPr>
          <w:rFonts w:ascii="Times New Roman;Times;serif" w:hAnsi="Times New Roman;Times;serif"/>
          <w:b/>
          <w:i w:val="false"/>
          <w:caps w:val="false"/>
          <w:smallCaps w:val="false"/>
          <w:sz w:val="24"/>
        </w:rPr>
        <w:t>AND</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RESULTS OF ANNUAL STOCKHOLDER MEETING</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DALLAS, TEXAS – May 13, 2026 – Kronos Worldwide, Inc. (NYSE:  KRO) announced that its board of directors has declared a regular quarterly dividend of five cents ($0.05) per share on its common stock, payable on June 18, 2026 to stockholders of record at the close of business on June 4, 2026.</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Kronos Worldwide also announced that at its 2026 annual stockholder meeting held today its stockholders had:</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elected each of Brian W. Christian, Loretta J. Feehan, John E. Harper, Kevin B. Kramer, Meredith W. Mendes, Cecil H. Moore, Jr., Michael S. Simmons, and R. Gerald Turner as a director for a one-year term;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adopted a resolution that approved, on a nonbinding advisory basis, the compensation of its named executive officers as disclosed in the proxy statement for the 2026 annual stockholder meeting.</w:t>
            </w:r>
          </w:p>
        </w:tc>
      </w:tr>
    </w:tbl>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Kronos Worldwide, Inc. is a major international producer of titanium dioxide products.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center"/>
        <w:rPr>
          <w:rFonts w:ascii="Times New Roman;Times;serif" w:hAnsi="Times New Roman;Times;serif"/>
          <w:spacing w:val="-2"/>
          <w:sz w:val="22"/>
        </w:rPr>
      </w:pPr>
      <w:r>
        <w:rPr>
          <w:rFonts w:ascii="Times New Roman;Times;serif" w:hAnsi="Times New Roman;Times;serif"/>
          <w:spacing w:val="-2"/>
          <w:sz w:val="22"/>
        </w:rPr>
        <w:t>* * * * *</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Tel. 972-233-1700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MT">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873</Words>
  <Characters>4742</Characters>
  <CharactersWithSpaces>5652</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