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100"/>
        <w:ind w:left="0" w:right="0" w:hanging="0"/>
        <w:jc w:val="center"/>
        <w:rPr/>
      </w:pPr>
      <w:bookmarkStart w:id="0" w:name="kro-20260805x8k.htm"/>
      <w:bookmarkStart w:id="1" w:name="kskro20260805x8k"/>
      <w:bookmarkEnd w:id="0"/>
      <w:bookmarkEnd w:id="1"/>
      <w:r>
        <w:rPr/>
        <w:t>​</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5725ad55_7d39_486b_aded_9060567967a6"/>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August 5, 2026</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KRONOS WORLDWIDE,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ENALawV_bkm2sVlYlOg1XQ_3_4"/>
      <w:bookmarkStart w:id="4" w:name="Tc_3WWxE1cqiEmhMkCJNN4MBg_3_2"/>
      <w:bookmarkStart w:id="5" w:name="Tc_fyVEjOCU3U-VJmGlsmREqQ_3_0"/>
      <w:bookmarkStart w:id="6" w:name="Tc_mF7x79jTzEKb3qWk6b_O8A_2_4"/>
      <w:bookmarkStart w:id="7" w:name="Tc_duIUvafJu0W0AWoduwpUUQ_2_2"/>
      <w:bookmarkStart w:id="8" w:name="Tc_KrRoIzBnHkOu4sl7f1KB4Q_2_0"/>
      <w:bookmarkStart w:id="9" w:name="_4d5687b1_9cec_4671_b929_2fa87788c75d"/>
      <w:bookmarkStart w:id="10" w:name="Tc_ENALawV_bkm2sVlYlOg1XQ_3_4"/>
      <w:bookmarkStart w:id="11" w:name="Tc_3WWxE1cqiEmhMkCJNN4MBg_3_2"/>
      <w:bookmarkStart w:id="12" w:name="Tc_fyVEjOCU3U-VJmGlsmREqQ_3_0"/>
      <w:bookmarkStart w:id="13" w:name="Tc_mF7x79jTzEKb3qWk6b_O8A_2_4"/>
      <w:bookmarkStart w:id="14" w:name="Tc_duIUvafJu0W0AWoduwpUUQ_2_2"/>
      <w:bookmarkStart w:id="15" w:name="Tc_KrRoIzBnHkOu4sl7f1KB4Q_2_0"/>
      <w:bookmarkStart w:id="16" w:name="_4d5687b1_9cec_4671_b929_2fa87788c75d"/>
      <w:bookmarkEnd w:id="10"/>
      <w:bookmarkEnd w:id="11"/>
      <w:bookmarkEnd w:id="12"/>
      <w:bookmarkEnd w:id="13"/>
      <w:bookmarkEnd w:id="14"/>
      <w:bookmarkEnd w:id="15"/>
      <w:bookmarkEnd w:id="16"/>
    </w:p>
    <w:tbl>
      <w:tblPr>
        <w:tblW w:w="5990" w:type="dxa"/>
        <w:jc w:val="left"/>
        <w:tblInd w:w="0" w:type="dxa"/>
        <w:tblLayout w:type="fixed"/>
        <w:tblCellMar>
          <w:top w:w="0" w:type="dxa"/>
          <w:left w:w="0" w:type="dxa"/>
          <w:bottom w:w="0" w:type="dxa"/>
          <w:right w:w="0" w:type="dxa"/>
        </w:tblCellMar>
      </w:tblPr>
      <w:tblGrid>
        <w:gridCol w:w="2461"/>
        <w:gridCol w:w="346"/>
        <w:gridCol w:w="1186"/>
        <w:gridCol w:w="346"/>
        <w:gridCol w:w="1651"/>
      </w:tblGrid>
      <w:tr>
        <w:trPr/>
        <w:tc>
          <w:tcPr>
            <w:tcW w:w="2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562735" cy="175260"/>
                      <wp:effectExtent l="0" t="0" r="0" b="0"/>
                      <wp:wrapNone/>
                      <wp:docPr id="1" name="Frame1"/>
                      <a:graphic xmlns:a="http://schemas.openxmlformats.org/drawingml/2006/main">
                        <a:graphicData uri="http://schemas.microsoft.com/office/word/2010/wordprocessingShape">
                          <wps:wsp>
                            <wps:cNvSpPr txBox="1"/>
                            <wps:spPr>
                              <a:xfrm>
                                <a:off x="0" y="0"/>
                                <a:ext cx="156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753110" cy="175260"/>
                      <wp:effectExtent l="0" t="0" r="0" b="0"/>
                      <wp:wrapNone/>
                      <wp:docPr id="3" name="Frame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048385" cy="175260"/>
                      <wp:effectExtent l="0" t="0" r="0" b="0"/>
                      <wp:wrapNone/>
                      <wp:docPr id="5" name="Frame5"/>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61" w:type="dxa"/>
            <w:tcBorders/>
            <w:vAlign w:val="center"/>
          </w:tcPr>
          <w:p>
            <w:pPr>
              <w:pStyle w:val="TableContents"/>
              <w:pBdr/>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Delaware</w:t>
            </w:r>
          </w:p>
        </w:tc>
        <w:tc>
          <w:tcPr>
            <w:tcW w:w="346" w:type="dxa"/>
            <w:tcBorders/>
            <w:vAlign w:val="center"/>
          </w:tcPr>
          <w:p>
            <w:pPr>
              <w:pStyle w:val="TableContents"/>
              <w:bidi w:val="0"/>
              <w:spacing w:before="0" w:after="0"/>
              <w:ind w:left="0" w:right="0" w:hanging="0"/>
              <w:jc w:val="left"/>
              <w:rPr/>
            </w:pPr>
            <w:r>
              <w:rPr/>
              <w:t>  ​ ​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1-31763</w:t>
            </w:r>
          </w:p>
        </w:tc>
        <w:tc>
          <w:tcPr>
            <w:tcW w:w="346" w:type="dxa"/>
            <w:tcBorders/>
            <w:vAlign w:val="center"/>
          </w:tcPr>
          <w:p>
            <w:pPr>
              <w:pStyle w:val="TableContents"/>
              <w:bidi w:val="0"/>
              <w:spacing w:before="0" w:after="0"/>
              <w:ind w:left="0" w:right="0" w:hanging="0"/>
              <w:jc w:val="left"/>
              <w:rPr/>
            </w:pPr>
            <w:r>
              <w:rPr/>
              <w:t>  ​ ​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76-0294959</w:t>
            </w:r>
          </w:p>
        </w:tc>
      </w:tr>
      <w:tr>
        <w:trPr/>
        <w:tc>
          <w:tcPr>
            <w:tcW w:w="246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4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incorporation)</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062" w:type="dxa"/>
        <w:jc w:val="left"/>
        <w:tblInd w:w="0" w:type="dxa"/>
        <w:tblLayout w:type="fixed"/>
        <w:tblCellMar>
          <w:top w:w="0" w:type="dxa"/>
          <w:left w:w="0" w:type="dxa"/>
          <w:bottom w:w="0" w:type="dxa"/>
          <w:right w:w="0" w:type="dxa"/>
        </w:tblCellMar>
      </w:tblPr>
      <w:tblGrid>
        <w:gridCol w:w="4756"/>
        <w:gridCol w:w="1306"/>
      </w:tblGrid>
      <w:tr>
        <w:trPr/>
        <w:tc>
          <w:tcPr>
            <w:tcW w:w="475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475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b/>
                <w:sz w:val="24"/>
              </w:rPr>
              <w:t>5430 LBJ Freeway, Suite 1700, Dallas, Texas</w:t>
            </w:r>
            <w:r>
              <w:rPr>
                <w:rFonts w:ascii="Times New Roman;Times;serif" w:hAnsi="Times New Roman;Times;serif"/>
                <w:sz w:val="24"/>
              </w:rPr>
              <w:t xml:space="preserve"> </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p>
            <w:pPr>
              <w:pStyle w:val="TableContents"/>
              <w:bidi w:val="0"/>
              <w:spacing w:before="0" w:after="0"/>
              <w:ind w:left="0" w:right="0" w:hanging="0"/>
              <w:jc w:val="center"/>
              <w:rPr/>
            </w:pPr>
            <w:r>
              <w:rPr/>
              <w:t>​</w:t>
            </w:r>
          </w:p>
        </w:tc>
        <w:tc>
          <w:tcPr>
            <w:tcW w:w="1306" w:type="dxa"/>
            <w:tcBorders/>
            <w:vAlign w:val="center"/>
          </w:tcPr>
          <w:p>
            <w:pPr>
              <w:pStyle w:val="TableContents"/>
              <w:bidi w:val="0"/>
              <w:spacing w:before="0" w:after="0"/>
              <w:ind w:left="936" w:right="0" w:hanging="0"/>
              <w:jc w:val="center"/>
              <w:rPr>
                <w:rFonts w:ascii="Times New Roman;Times;serif" w:hAnsi="Times New Roman;Times;serif"/>
                <w:b/>
                <w:sz w:val="24"/>
              </w:rPr>
            </w:pPr>
            <w:r>
              <w:rPr>
                <w:rFonts w:ascii="Times New Roman;Times;serif" w:hAnsi="Times New Roman;Times;serif"/>
                <w:b/>
                <w:sz w:val="24"/>
              </w:rPr>
              <w:t>75240-2620</w:t>
            </w:r>
          </w:p>
          <w:p>
            <w:pPr>
              <w:pStyle w:val="TableContents"/>
              <w:bidi w:val="0"/>
              <w:spacing w:before="0" w:after="0"/>
              <w:ind w:left="936"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100"/>
        <w:ind w:left="0" w:right="0" w:hanging="0"/>
        <w:jc w:val="center"/>
        <w:rPr>
          <w:rFonts w:ascii="Times New Roman;Times;serif" w:hAnsi="Times New Roman;Times;serif"/>
          <w:b/>
          <w:sz w:val="24"/>
        </w:rPr>
      </w:pPr>
      <w:r>
        <w:rPr>
          <w:rFonts w:ascii="Times New Roman;Times;serif" w:hAnsi="Times New Roman;Times;serif"/>
          <w:b/>
          <w:sz w:val="24"/>
        </w:rPr>
        <w:t>(972) 233-1700</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w:t>
      </w:r>
      <w:r>
        <w:rPr>
          <w:rFonts w:ascii="Times New Roman;Times;serif" w:hAnsi="Times New Roman;Times;serif"/>
          <w:i/>
          <w:sz w:val="20"/>
        </w:rPr>
        <w:t>see</w:t>
      </w:r>
      <w:r>
        <w:rPr>
          <w:rFonts w:ascii="Times New Roman;Times;serif" w:hAnsi="Times New Roman;Times;serif"/>
          <w:sz w:val="20"/>
        </w:rPr>
        <w:t xml:space="preserve"> General Instruction A.2.):</w:t>
      </w:r>
    </w:p>
    <w:p>
      <w:pPr>
        <w:pStyle w:val="TextBody"/>
        <w:bidi w:val="0"/>
        <w:spacing w:before="0" w:after="200"/>
        <w:ind w:left="0" w:right="0" w:hanging="0"/>
        <w:jc w:val="both"/>
        <w:rPr/>
      </w:pPr>
      <w:r>
        <w:rPr/>
        <w:t>​</w:t>
      </w:r>
    </w:p>
    <w:tbl>
      <w:tblPr>
        <w:tblW w:w="7851" w:type="dxa"/>
        <w:jc w:val="left"/>
        <w:tblInd w:w="0" w:type="dxa"/>
        <w:tblLayout w:type="fixed"/>
        <w:tblCellMar>
          <w:top w:w="0" w:type="dxa"/>
          <w:left w:w="0" w:type="dxa"/>
          <w:bottom w:w="0" w:type="dxa"/>
          <w:right w:w="0" w:type="dxa"/>
        </w:tblCellMar>
      </w:tblPr>
      <w:tblGrid>
        <w:gridCol w:w="124"/>
        <w:gridCol w:w="31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4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pBdr/>
        <w:bidi w:val="0"/>
        <w:spacing w:before="0" w:after="0"/>
        <w:ind w:left="360" w:right="0" w:hanging="360"/>
        <w:jc w:val="left"/>
        <w:rPr/>
      </w:pPr>
      <w:r>
        <w:rPr/>
        <w:t>​</w:t>
      </w:r>
    </w:p>
    <w:tbl>
      <w:tblPr>
        <w:tblW w:w="7881" w:type="dxa"/>
        <w:jc w:val="left"/>
        <w:tblInd w:w="0" w:type="dxa"/>
        <w:tblLayout w:type="fixed"/>
        <w:tblCellMar>
          <w:top w:w="0" w:type="dxa"/>
          <w:left w:w="0" w:type="dxa"/>
          <w:bottom w:w="0" w:type="dxa"/>
          <w:right w:w="0" w:type="dxa"/>
        </w:tblCellMar>
      </w:tblPr>
      <w:tblGrid>
        <w:gridCol w:w="124"/>
        <w:gridCol w:w="31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4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pBdr/>
        <w:bidi w:val="0"/>
        <w:spacing w:before="0" w:after="0"/>
        <w:ind w:left="360" w:right="0" w:hanging="360"/>
        <w:jc w:val="left"/>
        <w:rPr/>
      </w:pPr>
      <w:r>
        <w:rPr/>
        <w:t>​</w:t>
      </w:r>
    </w:p>
    <w:tbl>
      <w:tblPr>
        <w:tblW w:w="9546" w:type="dxa"/>
        <w:jc w:val="left"/>
        <w:tblInd w:w="0" w:type="dxa"/>
        <w:tblLayout w:type="fixed"/>
        <w:tblCellMar>
          <w:top w:w="0" w:type="dxa"/>
          <w:left w:w="0" w:type="dxa"/>
          <w:bottom w:w="0" w:type="dxa"/>
          <w:right w:w="0" w:type="dxa"/>
        </w:tblCellMar>
      </w:tblPr>
      <w:tblGrid>
        <w:gridCol w:w="124"/>
        <w:gridCol w:w="31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10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 pursuant to Rule 14d-2(b) under the Exchange Act (17 CFR 240.14d-2(b))</w:t>
            </w:r>
          </w:p>
        </w:tc>
      </w:tr>
    </w:tbl>
    <w:p>
      <w:pPr>
        <w:pStyle w:val="TextBody"/>
        <w:pBdr/>
        <w:bidi w:val="0"/>
        <w:spacing w:before="0" w:after="0"/>
        <w:ind w:left="360" w:right="0" w:hanging="360"/>
        <w:jc w:val="left"/>
        <w:rPr/>
      </w:pPr>
      <w:r>
        <w:rPr/>
        <w:t>​</w:t>
      </w:r>
    </w:p>
    <w:tbl>
      <w:tblPr>
        <w:tblW w:w="9486" w:type="dxa"/>
        <w:jc w:val="left"/>
        <w:tblInd w:w="0" w:type="dxa"/>
        <w:tblLayout w:type="fixed"/>
        <w:tblCellMar>
          <w:top w:w="0" w:type="dxa"/>
          <w:left w:w="0" w:type="dxa"/>
          <w:bottom w:w="0" w:type="dxa"/>
          <w:right w:w="0" w:type="dxa"/>
        </w:tblCellMar>
      </w:tblPr>
      <w:tblGrid>
        <w:gridCol w:w="124"/>
        <w:gridCol w:w="31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04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00"/>
        <w:ind w:left="0" w:right="0" w:hanging="0"/>
        <w:jc w:val="both"/>
        <w:rPr/>
      </w:pPr>
      <w:r>
        <w:rPr/>
        <w:t>​</w:t>
      </w:r>
    </w:p>
    <w:p>
      <w:pPr>
        <w:pStyle w:val="Normal"/>
        <w:bidi w:val="0"/>
        <w:spacing w:before="0" w:after="0"/>
        <w:jc w:val="left"/>
        <w:rPr>
          <w:sz w:val="4"/>
          <w:szCs w:val="4"/>
        </w:rPr>
      </w:pPr>
      <w:r>
        <w:rPr>
          <w:sz w:val="4"/>
          <w:szCs w:val="4"/>
        </w:rPr>
      </w:r>
      <w:bookmarkStart w:id="17" w:name="Tc_zTmCedZn10ShySjwwI_wyQ_1_4"/>
      <w:bookmarkStart w:id="18" w:name="Tc_Y5sb59y0zEe0DKLUbTXNZg_1_2"/>
      <w:bookmarkStart w:id="19" w:name="Tc_qlSNrJLhIUCzZqT6sLdPAw_1_0"/>
      <w:bookmarkStart w:id="20" w:name="_ed6fefe5_cc62_4d0a_b802_8bd066b248df"/>
      <w:bookmarkStart w:id="21" w:name="Tc_zTmCedZn10ShySjwwI_wyQ_1_4"/>
      <w:bookmarkStart w:id="22" w:name="Tc_Y5sb59y0zEe0DKLUbTXNZg_1_2"/>
      <w:bookmarkStart w:id="23" w:name="Tc_qlSNrJLhIUCzZqT6sLdPAw_1_0"/>
      <w:bookmarkStart w:id="24" w:name="_ed6fefe5_cc62_4d0a_b802_8bd066b248df"/>
      <w:bookmarkEnd w:id="21"/>
      <w:bookmarkEnd w:id="22"/>
      <w:bookmarkEnd w:id="23"/>
      <w:bookmarkEnd w:id="24"/>
    </w:p>
    <w:tbl>
      <w:tblPr>
        <w:tblW w:w="7006" w:type="dxa"/>
        <w:jc w:val="left"/>
        <w:tblInd w:w="0" w:type="dxa"/>
        <w:tblLayout w:type="fixed"/>
        <w:tblCellMar>
          <w:top w:w="0" w:type="dxa"/>
          <w:left w:w="0" w:type="dxa"/>
          <w:bottom w:w="0" w:type="dxa"/>
          <w:right w:w="0" w:type="dxa"/>
        </w:tblCellMar>
      </w:tblPr>
      <w:tblGrid>
        <w:gridCol w:w="1396"/>
        <w:gridCol w:w="346"/>
        <w:gridCol w:w="1456"/>
        <w:gridCol w:w="346"/>
        <w:gridCol w:w="3271"/>
        <w:gridCol w:w="191"/>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886460" cy="175260"/>
                      <wp:effectExtent l="0" t="0" r="0" b="0"/>
                      <wp:wrapNone/>
                      <wp:docPr id="6" name="Frame6"/>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24560" cy="175260"/>
                      <wp:effectExtent l="0" t="0" r="0" b="0"/>
                      <wp:wrapNone/>
                      <wp:docPr id="8" name="Frame8"/>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7085" cy="175260"/>
                      <wp:effectExtent l="0" t="0" r="0" b="0"/>
                      <wp:wrapNone/>
                      <wp:docPr id="10" name="Frame10"/>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1285" cy="175260"/>
                      <wp:effectExtent l="0" t="0" r="0" b="0"/>
                      <wp:wrapNone/>
                      <wp:docPr id="11" name="Frame1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32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1396" w:type="dxa"/>
            <w:tcBorders>
              <w:top w:val="single" w:sz="2"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w:t>
            </w:r>
          </w:p>
        </w:tc>
        <w:tc>
          <w:tcPr>
            <w:tcW w:w="346" w:type="dxa"/>
            <w:tcBorders/>
            <w:vAlign w:val="center"/>
          </w:tcPr>
          <w:p>
            <w:pPr>
              <w:pStyle w:val="TableContents"/>
              <w:bidi w:val="0"/>
              <w:spacing w:before="0" w:after="0"/>
              <w:ind w:left="0" w:right="0" w:hanging="0"/>
              <w:jc w:val="left"/>
              <w:rPr/>
            </w:pPr>
            <w:r>
              <w:rPr/>
              <w:t>​</w:t>
            </w:r>
          </w:p>
        </w:tc>
        <w:tc>
          <w:tcPr>
            <w:tcW w:w="145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KRO</w:t>
            </w:r>
          </w:p>
        </w:tc>
        <w:tc>
          <w:tcPr>
            <w:tcW w:w="346" w:type="dxa"/>
            <w:tcBorders/>
            <w:vAlign w:val="center"/>
          </w:tcPr>
          <w:p>
            <w:pPr>
              <w:pStyle w:val="TableContents"/>
              <w:bidi w:val="0"/>
              <w:spacing w:before="0" w:after="0"/>
              <w:ind w:left="0" w:right="0" w:hanging="0"/>
              <w:jc w:val="left"/>
              <w:rPr/>
            </w:pPr>
            <w:r>
              <w:rPr/>
              <w:t>​</w:t>
            </w:r>
          </w:p>
        </w:tc>
        <w:tc>
          <w:tcPr>
            <w:tcW w:w="32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New York Stock Exchange</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00"/>
        <w:ind w:left="0" w:right="0" w:hanging="0"/>
        <w:jc w:val="both"/>
        <w:rPr/>
      </w:pPr>
      <w:r>
        <w:rPr/>
        <w:t>​</w:t>
      </w:r>
    </w:p>
    <w:p>
      <w:pPr>
        <w:pStyle w:val="TextBody"/>
        <w:pBdr>
          <w:top w:val="single" w:sz="8" w:space="1" w:color="000000"/>
          <w:bottom w:val="single" w:sz="24" w:space="1" w:color="000000"/>
        </w:pBdr>
        <w:bidi w:val="0"/>
        <w:spacing w:before="0" w:after="20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25" w:name="_0dfc7d15_5e9e_4a6e_bfc2_d8b078390b68"/>
      <w:bookmarkEnd w:id="25"/>
      <w:r>
        <w:rPr>
          <w:rFonts w:ascii="Times New Roman;Times;serif" w:hAnsi="Times New Roman;Times;serif"/>
          <w:b/>
          <w:i w:val="false"/>
          <w:caps w:val="false"/>
          <w:smallCaps w:val="false"/>
          <w:sz w:val="20"/>
        </w:rPr>
        <w:t xml:space="preserve">Item 2.02 </w:t>
      </w:r>
      <w:r>
        <w:rPr>
          <w:rFonts w:ascii="Times New Roman;Times;serif" w:hAnsi="Times New Roman;Times;serif"/>
          <w:b/>
          <w:sz w:val="20"/>
        </w:rPr>
        <w:t>Results of Operations and Financial Condition.</w:t>
      </w:r>
    </w:p>
    <w:p>
      <w:pPr>
        <w:pStyle w:val="TextBody"/>
        <w:bidi w:val="0"/>
        <w:spacing w:before="0" w:after="0"/>
        <w:ind w:left="0" w:right="0" w:firstLine="720"/>
        <w:jc w:val="both"/>
        <w:rPr>
          <w:rFonts w:ascii="Times New Roman;Times;serif" w:hAnsi="Times New Roman;Times;serif"/>
          <w:spacing w:val="-3"/>
          <w:sz w:val="20"/>
        </w:rPr>
      </w:pPr>
      <w:r>
        <w:rPr>
          <w:rFonts w:ascii="Times New Roman;Times;serif" w:hAnsi="Times New Roman;Times;serif"/>
          <w:spacing w:val="-3"/>
          <w:sz w:val="20"/>
        </w:rPr>
        <w:t>The registrant hereby furnishes the information set forth in its press release entitled “Kronos Worldwide, Inc. Reports Second Quarter 2026 Results” that the registrant issued on August 5, 2026, a copy of which is attached hereto as Exhibit 99.1 and incorporated herein by reference.</w:t>
      </w:r>
    </w:p>
    <w:p>
      <w:pPr>
        <w:pStyle w:val="TextBody"/>
        <w:bidi w:val="0"/>
        <w:spacing w:before="0" w:after="0"/>
        <w:ind w:left="0" w:right="0" w:firstLine="720"/>
        <w:jc w:val="left"/>
        <w:rPr>
          <w:spacing w:val="-3"/>
        </w:rPr>
      </w:pPr>
      <w:r>
        <w:rPr>
          <w:spacing w:val="-3"/>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press release the registrant furnishes as Exhibit 99.1 to this current report is not </w:t>
      </w:r>
      <w:r>
        <w:rPr>
          <w:rFonts w:ascii="Times New Roman;Times;serif" w:hAnsi="Times New Roman;Times;serif"/>
          <w:spacing w:val="-3"/>
          <w:sz w:val="20"/>
        </w:rPr>
        <w:t>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rFonts w:ascii="Times New Roman;Times;serif" w:hAnsi="Times New Roman;Times;serif"/>
          <w:b/>
          <w:sz w:val="20"/>
        </w:rPr>
      </w:pPr>
      <w:bookmarkStart w:id="26" w:name="_e8ea7a07_a95b_4be2_95c0_62d616e9b4bb"/>
      <w:bookmarkEnd w:id="26"/>
      <w:r>
        <w:rPr>
          <w:rFonts w:ascii="Times New Roman;Times;serif" w:hAnsi="Times New Roman;Times;serif"/>
          <w:b/>
          <w:sz w:val="20"/>
        </w:rPr>
        <w:t>Item 7.01 Regulation FD Disclosure</w:t>
      </w:r>
    </w:p>
    <w:p>
      <w:pPr>
        <w:pStyle w:val="TextBody"/>
        <w:pBdr/>
        <w:bidi w:val="0"/>
        <w:spacing w:before="0" w:after="0"/>
        <w:ind w:left="0" w:right="0" w:hanging="144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pacing w:val="-3"/>
          <w:sz w:val="20"/>
        </w:rPr>
        <w:t>The registrant hereby furnishes the information set forth in its press release entitled “Kronos</w:t>
      </w:r>
      <w:r>
        <w:rPr>
          <w:rFonts w:ascii="Times New Roman;Times;serif" w:hAnsi="Times New Roman;Times;serif"/>
          <w:sz w:val="20"/>
        </w:rPr>
        <w:t xml:space="preserve"> Worldwide, Inc. Announces Quarterly Dividend</w:t>
      </w:r>
      <w:r>
        <w:rPr>
          <w:rFonts w:ascii="Times New Roman;Times;serif" w:hAnsi="Times New Roman;Times;serif"/>
          <w:spacing w:val="-3"/>
          <w:sz w:val="20"/>
        </w:rPr>
        <w:t xml:space="preserve">” that the registrant also </w:t>
      </w:r>
      <w:r>
        <w:rPr>
          <w:rFonts w:ascii="Times New Roman;Times;serif" w:hAnsi="Times New Roman;Times;serif"/>
          <w:sz w:val="20"/>
        </w:rPr>
        <w:t>issued on August 5, 2026, a copy of which is attached hereto as Exhibit 99.2 and incorporated herein by reference.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press release the registrant furnishes as Exhibit 99.2 to this current report is not “filed” for purposes of section 18 of the Securities Exchange Act of 1934, as amended, or otherwise subject to the liabilities of that section.  Registration statements or other documents filed with the </w:t>
      </w:r>
      <w:r>
        <w:rPr>
          <w:rFonts w:ascii="Times New Roman;Times;serif" w:hAnsi="Times New Roman;Times;serif"/>
          <w:spacing w:val="-3"/>
          <w:sz w:val="20"/>
        </w:rPr>
        <w:t xml:space="preserve">U.S. </w:t>
      </w:r>
      <w:r>
        <w:rPr>
          <w:rFonts w:ascii="Times New Roman;Times;serif" w:hAnsi="Times New Roman;Times;serif"/>
          <w:sz w:val="20"/>
        </w:rPr>
        <w:t>Securities and Exchange Commission shall not incorporate this information by reference, except as otherwise expressly stated in such filing.</w:t>
      </w:r>
    </w:p>
    <w:p>
      <w:pPr>
        <w:pStyle w:val="TextBody"/>
        <w:pBdr/>
        <w:bidi w:val="0"/>
        <w:spacing w:before="0" w:after="0"/>
        <w:ind w:left="0" w:right="0" w:hanging="1440"/>
        <w:jc w:val="left"/>
        <w:rPr/>
      </w:pPr>
      <w:r>
        <w:rPr/>
        <w:t>​</w:t>
      </w:r>
    </w:p>
    <w:p>
      <w:pPr>
        <w:pStyle w:val="TextBody"/>
        <w:bidi w:val="0"/>
        <w:spacing w:before="0" w:after="240"/>
        <w:ind w:left="0" w:right="0" w:hanging="0"/>
        <w:jc w:val="left"/>
        <w:rPr>
          <w:rFonts w:ascii="Times New Roman;Times;serif" w:hAnsi="Times New Roman;Times;serif"/>
          <w:b/>
          <w:sz w:val="20"/>
        </w:rPr>
      </w:pPr>
      <w:bookmarkStart w:id="27" w:name="_6a25ad76_f924_4456_8e96_958b81a8ff76"/>
      <w:bookmarkEnd w:id="27"/>
      <w:r>
        <w:rPr>
          <w:rFonts w:ascii="Times New Roman;Times;serif" w:hAnsi="Times New Roman;Times;serif"/>
          <w:b/>
          <w:i w:val="false"/>
          <w:caps w:val="false"/>
          <w:smallCaps w:val="false"/>
          <w:sz w:val="20"/>
        </w:rPr>
        <w:t>Item 9.01</w:t>
      </w:r>
      <w:r>
        <w:rPr>
          <w:rFonts w:ascii="Times New Roman;Times;serif" w:hAnsi="Times New Roman;Times;serif"/>
          <w:b/>
          <w:sz w:val="20"/>
        </w:rPr>
        <w:t>Financial Statements and Exhibits.</w:t>
      </w:r>
    </w:p>
    <w:p>
      <w:pPr>
        <w:pStyle w:val="TextBody"/>
        <w:bidi w:val="0"/>
        <w:spacing w:before="0" w:after="0"/>
        <w:ind w:left="115"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73"/>
        <w:gridCol w:w="346"/>
        <w:gridCol w:w="9086"/>
      </w:tblGrid>
      <w:tr>
        <w:trPr/>
        <w:tc>
          <w:tcPr>
            <w:tcW w:w="7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90855" cy="29210"/>
                      <wp:effectExtent l="0" t="0" r="0" b="0"/>
                      <wp:wrapNone/>
                      <wp:docPr id="12" name="Frame12"/>
                      <a:graphic xmlns:a="http://schemas.openxmlformats.org/drawingml/2006/main">
                        <a:graphicData uri="http://schemas.microsoft.com/office/word/2010/wordprocessingShape">
                          <wps:wsp>
                            <wps:cNvSpPr txBox="1"/>
                            <wps:spPr>
                              <a:xfrm>
                                <a:off x="0" y="0"/>
                                <a:ext cx="4908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29210"/>
                      <wp:effectExtent l="0" t="0" r="0" b="0"/>
                      <wp:wrapNone/>
                      <wp:docPr id="13" name="Frame13"/>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769610" cy="29210"/>
                      <wp:effectExtent l="0" t="0" r="0" b="0"/>
                      <wp:wrapNone/>
                      <wp:docPr id="14" name="Frame14"/>
                      <a:graphic xmlns:a="http://schemas.openxmlformats.org/drawingml/2006/main">
                        <a:graphicData uri="http://schemas.microsoft.com/office/word/2010/wordprocessingShape">
                          <wps:wsp>
                            <wps:cNvSpPr txBox="1"/>
                            <wps:spPr>
                              <a:xfrm>
                                <a:off x="0" y="0"/>
                                <a:ext cx="5769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Item No.</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90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773"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8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773"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w:t>
            </w:r>
          </w:p>
        </w:tc>
        <w:tc>
          <w:tcPr>
            <w:tcW w:w="9086" w:type="dxa"/>
            <w:tcBorders/>
            <w:vAlign w:val="center"/>
          </w:tcPr>
          <w:p>
            <w:pPr>
              <w:pStyle w:val="TableContents"/>
              <w:bidi w:val="0"/>
              <w:spacing w:before="0" w:after="0"/>
              <w:ind w:left="0" w:right="0" w:hanging="0"/>
              <w:jc w:val="left"/>
              <w:rPr/>
            </w:pPr>
            <w:hyperlink w:anchor="kro-20260805xex99d1.htm">
              <w:r>
                <w:rPr>
                  <w:rStyle w:val="InternetLink"/>
                  <w:rFonts w:ascii="Times New Roman;Times;serif" w:hAnsi="Times New Roman;Times;serif"/>
                  <w:b w:val="false"/>
                  <w:i w:val="false"/>
                  <w:caps w:val="false"/>
                  <w:smallCaps w:val="false"/>
                  <w:sz w:val="20"/>
                </w:rPr>
                <w:t>Press release dated August 5, 2026 entitled “Kronos Worldwide, Inc. Reports Second Quarter 2026 Results” and issued by the registrant.</w:t>
              </w:r>
            </w:hyperlink>
          </w:p>
        </w:tc>
      </w:tr>
      <w:tr>
        <w:trPr/>
        <w:tc>
          <w:tcPr>
            <w:tcW w:w="773"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86" w:type="dxa"/>
            <w:tcBorders/>
            <w:vAlign w:val="center"/>
          </w:tcPr>
          <w:p>
            <w:pPr>
              <w:pStyle w:val="TableContents"/>
              <w:bidi w:val="0"/>
              <w:spacing w:before="0" w:after="0"/>
              <w:ind w:left="0" w:right="0" w:hanging="0"/>
              <w:jc w:val="left"/>
              <w:rPr/>
            </w:pPr>
            <w:r>
              <w:rPr/>
              <w:t>​</w:t>
            </w:r>
          </w:p>
        </w:tc>
      </w:tr>
      <w:tr>
        <w:trPr/>
        <w:tc>
          <w:tcPr>
            <w:tcW w:w="773"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99.2</w:t>
            </w:r>
          </w:p>
        </w:tc>
        <w:tc>
          <w:tcPr>
            <w:tcW w:w="346" w:type="dxa"/>
            <w:tcBorders/>
            <w:vAlign w:val="center"/>
          </w:tcPr>
          <w:p>
            <w:pPr>
              <w:pStyle w:val="TableContents"/>
              <w:bidi w:val="0"/>
              <w:spacing w:before="0" w:after="0"/>
              <w:ind w:left="0" w:right="0" w:hanging="0"/>
              <w:jc w:val="left"/>
              <w:rPr/>
            </w:pPr>
            <w:r>
              <w:rPr/>
              <w:t>​</w:t>
            </w:r>
          </w:p>
        </w:tc>
        <w:tc>
          <w:tcPr>
            <w:tcW w:w="9086" w:type="dxa"/>
            <w:tcBorders/>
            <w:vAlign w:val="center"/>
          </w:tcPr>
          <w:p>
            <w:pPr>
              <w:pStyle w:val="TableContents"/>
              <w:bidi w:val="0"/>
              <w:spacing w:before="0" w:after="0"/>
              <w:ind w:left="0" w:right="0" w:hanging="0"/>
              <w:jc w:val="left"/>
              <w:rPr/>
            </w:pPr>
            <w:hyperlink w:anchor="kro-20260805xex99d2.htm">
              <w:r>
                <w:rPr>
                  <w:rStyle w:val="InternetLink"/>
                  <w:rFonts w:ascii="Times New Roman;Times;serif" w:hAnsi="Times New Roman;Times;serif"/>
                  <w:b w:val="false"/>
                  <w:i w:val="false"/>
                  <w:caps w:val="false"/>
                  <w:smallCaps w:val="false"/>
                  <w:spacing w:val="-3"/>
                  <w:sz w:val="20"/>
                </w:rPr>
                <w:t>Press release dated August 5, 2026, entitled “Kronos Worldwide, Inc. Announces Quarterly Dividend” and issued by the registrant.</w:t>
              </w:r>
            </w:hyperlink>
          </w:p>
        </w:tc>
      </w:tr>
      <w:tr>
        <w:trPr/>
        <w:tc>
          <w:tcPr>
            <w:tcW w:w="773"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86" w:type="dxa"/>
            <w:tcBorders/>
            <w:vAlign w:val="center"/>
          </w:tcPr>
          <w:p>
            <w:pPr>
              <w:pStyle w:val="TableContents"/>
              <w:bidi w:val="0"/>
              <w:spacing w:before="0" w:after="0"/>
              <w:ind w:left="0" w:right="0" w:hanging="0"/>
              <w:jc w:val="left"/>
              <w:rPr/>
            </w:pPr>
            <w:r>
              <w:rPr/>
              <w:t>​</w:t>
            </w:r>
          </w:p>
        </w:tc>
      </w:tr>
      <w:tr>
        <w:trPr/>
        <w:tc>
          <w:tcPr>
            <w:tcW w:w="773"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bookmarkStart w:id="28" w:name="_fb6dcf3c_5dc1_459e_849b_d1fbd4635820"/>
      <w:bookmarkEnd w:id="28"/>
      <w:r>
        <w:rPr>
          <w:rFonts w:ascii="Times New Roman;Times;serif" w:hAnsi="Times New Roman;Times;serif"/>
          <w:b/>
          <w:sz w:val="20"/>
        </w:rPr>
        <w:t>SIGNATURE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6498" w:type="dxa"/>
        <w:jc w:val="left"/>
        <w:tblInd w:w="0" w:type="dxa"/>
        <w:tblLayout w:type="fixed"/>
        <w:tblCellMar>
          <w:top w:w="0" w:type="dxa"/>
          <w:left w:w="0" w:type="dxa"/>
          <w:bottom w:w="0" w:type="dxa"/>
          <w:right w:w="0" w:type="dxa"/>
        </w:tblCellMar>
      </w:tblPr>
      <w:tblGrid>
        <w:gridCol w:w="1846"/>
        <w:gridCol w:w="406"/>
        <w:gridCol w:w="4246"/>
      </w:tblGrid>
      <w:tr>
        <w:trPr/>
        <w:tc>
          <w:tcPr>
            <w:tcW w:w="1846" w:type="dxa"/>
            <w:tcBorders/>
            <w:vAlign w:val="center"/>
          </w:tcPr>
          <w:p>
            <w:pPr>
              <w:pStyle w:val="TableContents"/>
              <w:bidi w:val="0"/>
              <w:spacing w:before="0" w:after="0"/>
              <w:ind w:left="0" w:right="0" w:hanging="0"/>
              <w:jc w:val="left"/>
              <w:rPr/>
            </w:pPr>
            <w:r>
              <w:rPr/>
              <w:t>​</w:t>
            </w:r>
          </w:p>
        </w:tc>
        <w:tc>
          <w:tcPr>
            <w:tcW w:w="465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KRONOS WORLDWIDE, INC.</w:t>
            </w:r>
          </w:p>
        </w:tc>
      </w:tr>
      <w:tr>
        <w:trPr/>
        <w:tc>
          <w:tcPr>
            <w:tcW w:w="1846" w:type="dxa"/>
            <w:tcBorders/>
            <w:vAlign w:val="center"/>
          </w:tcPr>
          <w:p>
            <w:pPr>
              <w:pStyle w:val="TableContents"/>
              <w:bidi w:val="0"/>
              <w:spacing w:before="0" w:after="0"/>
              <w:ind w:left="0" w:right="0" w:hanging="0"/>
              <w:jc w:val="left"/>
              <w:rPr/>
            </w:pPr>
            <w:r>
              <w:rPr/>
              <w:t>​</w:t>
            </w:r>
          </w:p>
        </w:tc>
        <w:tc>
          <w:tcPr>
            <w:tcW w:w="465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846" w:type="dxa"/>
            <w:tcBorders/>
            <w:vAlign w:val="center"/>
          </w:tcPr>
          <w:p>
            <w:pPr>
              <w:pStyle w:val="TableContents"/>
              <w:bidi w:val="0"/>
              <w:spacing w:before="0" w:after="0"/>
              <w:ind w:left="0" w:right="0" w:hanging="0"/>
              <w:jc w:val="left"/>
              <w:rPr/>
            </w:pPr>
            <w:r>
              <w:rPr/>
              <w:t>​</w:t>
            </w:r>
          </w:p>
        </w:tc>
        <w:tc>
          <w:tcPr>
            <w:tcW w:w="4652" w:type="dxa"/>
            <w:gridSpan w:val="2"/>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652" w:type="dxa"/>
            <w:gridSpan w:val="2"/>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Bradley E. Troutman</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Bradley E. Troutman,</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24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Senior Vice President and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9" w:name="kro-20260805xex99d1.htm"/>
      <w:bookmarkStart w:id="30" w:name="kskro20260805xex99d1"/>
      <w:bookmarkStart w:id="31" w:name="kro-20260805xex99d1.htm"/>
      <w:bookmarkStart w:id="32" w:name="kskro20260805xex99d1"/>
      <w:bookmarkEnd w:id="31"/>
      <w:bookmarkEnd w:id="32"/>
      <w:r>
        <w:br w:type="page"/>
      </w:r>
    </w:p>
    <w:tbl>
      <w:tblPr>
        <w:tblW w:w="3739" w:type="dxa"/>
        <w:jc w:val="left"/>
        <w:tblInd w:w="0" w:type="dxa"/>
        <w:tblLayout w:type="fixed"/>
        <w:tblCellMar>
          <w:top w:w="0" w:type="dxa"/>
          <w:left w:w="0" w:type="dxa"/>
          <w:bottom w:w="0" w:type="dxa"/>
          <w:right w:w="0" w:type="dxa"/>
        </w:tblCellMar>
      </w:tblPr>
      <w:tblGrid>
        <w:gridCol w:w="1667"/>
        <w:gridCol w:w="2072"/>
      </w:tblGrid>
      <w:tr>
        <w:trPr/>
        <w:tc>
          <w:tcPr>
            <w:tcW w:w="1667" w:type="dxa"/>
            <w:tcBorders/>
            <w:vAlign w:val="center"/>
          </w:tcPr>
          <w:p>
            <w:pPr>
              <w:pStyle w:val="TableContents"/>
              <w:bidi w:val="0"/>
              <w:spacing w:before="0" w:after="283"/>
              <w:ind w:left="0" w:right="0" w:hanging="0"/>
              <w:jc w:val="left"/>
              <w:rPr>
                <w:sz w:val="4"/>
                <w:szCs w:val="4"/>
              </w:rPr>
            </w:pPr>
            <w:r>
              <w:rPr>
                <w:sz w:val="4"/>
                <w:szCs w:val="4"/>
              </w:rPr>
            </w:r>
          </w:p>
        </w:tc>
        <w:tc>
          <w:tcPr>
            <w:tcW w:w="2072"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r>
      <w:tr>
        <w:trPr/>
        <w:tc>
          <w:tcPr>
            <w:tcW w:w="3739" w:type="dxa"/>
            <w:gridSpan w:val="2"/>
            <w:tcBorders/>
            <w:vAlign w:val="center"/>
          </w:tcPr>
          <w:p>
            <w:pPr>
              <w:pStyle w:val="TableContents"/>
              <w:bidi w:val="0"/>
              <w:spacing w:before="0" w:after="0"/>
              <w:jc w:val="left"/>
              <w:rPr/>
            </w:pPr>
            <w:r>
              <w:rPr/>
              <w:drawing>
                <wp:inline distT="0" distB="0" distL="0" distR="0">
                  <wp:extent cx="2281555" cy="739140"/>
                  <wp:effectExtent l="0" t="0" r="0" b="0"/>
                  <wp:docPr id="1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 descr=""/>
                          <pic:cNvPicPr>
                            <a:picLocks noChangeAspect="1" noChangeArrowheads="1"/>
                          </pic:cNvPicPr>
                        </pic:nvPicPr>
                        <pic:blipFill>
                          <a:blip r:embed="rId2"/>
                          <a:stretch>
                            <a:fillRect/>
                          </a:stretch>
                        </pic:blipFill>
                        <pic:spPr bwMode="auto">
                          <a:xfrm>
                            <a:off x="0" y="0"/>
                            <a:ext cx="2281555" cy="739140"/>
                          </a:xfrm>
                          <a:prstGeom prst="rect">
                            <a:avLst/>
                          </a:prstGeom>
                        </pic:spPr>
                      </pic:pic>
                    </a:graphicData>
                  </a:graphic>
                </wp:inline>
              </w:drawing>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KRONOS WORLDWIDE, INC. REPORTS SECOND QUARTER 2026 RESULTS</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DALLAS, TEXAS…August 5, 2026…Kronos Worldwide, Inc. (NYSE:KRO) today reported net income of $15.2 million, or $.13 per share, in the second quarter of 2026 compared to a net loss of $9.2 million, or $.08 per share, in the second quarter of 2025. For the first six months of 2026, Kronos reported net income of $10.4 million, or $.09 per share, compared to net income of $8.9 million, or $.08 per share, in the first six months of 2025. Net income increased in the second quarter and first six months of 2026 compared to the prior year periods primarily due to higher sales volumes and lower production costs resulting from cost reduction initiatives implemented in the fourth quarter of 2025, as well as lower raw material costs (primarily feedstock costs) and lower unabsorbed fixed costs. These favorable factors were partially offset by lower average TiO</w:t>
      </w:r>
      <w:r>
        <w:rPr>
          <w:rFonts w:ascii="Times New Roman;Times;serif" w:hAnsi="Times New Roman;Times;serif"/>
          <w:sz w:val="15"/>
        </w:rPr>
        <w:t>2</w:t>
      </w:r>
      <w:r>
        <w:rPr>
          <w:rFonts w:ascii="Times New Roman;Times;serif" w:hAnsi="Times New Roman;Times;serif"/>
          <w:sz w:val="20"/>
        </w:rPr>
        <w:t xml:space="preserve"> selling prices. Comparability of our results was also impacted by the effects of changes in currency exchange rates.</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 xml:space="preserve">Net sales of $558.1 million in the second quarter of 2026 were $63.7 million, or 13%, </w:t>
      </w:r>
      <w:r>
        <w:rPr>
          <w:rFonts w:ascii="Times New Roman;Times;serif" w:hAnsi="Times New Roman;Times;serif"/>
          <w:sz w:val="20"/>
          <w:shd w:fill="FFFFFF" w:val="clear"/>
        </w:rPr>
        <w:t>higher</w:t>
      </w:r>
      <w:r>
        <w:rPr>
          <w:rFonts w:ascii="Times New Roman;Times;serif" w:hAnsi="Times New Roman;Times;serif"/>
          <w:sz w:val="20"/>
        </w:rPr>
        <w:t xml:space="preserve"> than in the second quarter of 2025. Net sales of $1.1 billion in the first six months of 2026 were $83.7 million, or 9%, higher than the first six months of 2025. Net sales increased in the second quarter and first six months of 2026 compared to the same periods of 2025 primarily due to market share gains across all markets and the favorable impact of changes in currency exchange rates (primarily the euro), which we estimate increased our net sales by approximately $10 million and $41 million, respectively. These favorable impacts were partially offset by lower average TiO</w:t>
      </w:r>
      <w:r>
        <w:rPr>
          <w:rFonts w:ascii="Times New Roman;Times;serif" w:hAnsi="Times New Roman;Times;serif"/>
          <w:sz w:val="15"/>
        </w:rPr>
        <w:t>2</w:t>
      </w:r>
      <w:r>
        <w:rPr>
          <w:rFonts w:ascii="Times New Roman;Times;serif" w:hAnsi="Times New Roman;Times;serif"/>
          <w:sz w:val="20"/>
        </w:rPr>
        <w:t xml:space="preserve"> selling prices and the unfavorable impact of both lower average selling prices and sales volumes within our complementary businesses. We started 2026 with average TiO</w:t>
      </w:r>
      <w:r>
        <w:rPr>
          <w:rFonts w:ascii="Times New Roman;Times;serif" w:hAnsi="Times New Roman;Times;serif"/>
          <w:sz w:val="15"/>
        </w:rPr>
        <w:t>2</w:t>
      </w:r>
      <w:r>
        <w:rPr>
          <w:rFonts w:ascii="Times New Roman;Times;serif" w:hAnsi="Times New Roman;Times;serif"/>
          <w:sz w:val="20"/>
        </w:rPr>
        <w:t xml:space="preserve"> selling prices lower than at the beginning of 2025; however, our average TiO</w:t>
      </w:r>
      <w:r>
        <w:rPr>
          <w:rFonts w:ascii="Times New Roman;Times;serif" w:hAnsi="Times New Roman;Times;serif"/>
          <w:sz w:val="15"/>
        </w:rPr>
        <w:t xml:space="preserve">2 </w:t>
      </w:r>
      <w:r>
        <w:rPr>
          <w:rFonts w:ascii="Times New Roman;Times;serif" w:hAnsi="Times New Roman;Times;serif"/>
          <w:sz w:val="20"/>
        </w:rPr>
        <w:t xml:space="preserve">selling prices increased 4% during the first six months of 2026. During the second quarter of 2026, we announced and implemented various price increases and surcharges in response to higher operating costs. The table at the end of this press release shows how each of these items impacted net sales. </w:t>
      </w:r>
    </w:p>
    <w:p>
      <w:pPr>
        <w:pStyle w:val="TextBody"/>
        <w:bidi w:val="0"/>
        <w:spacing w:lineRule="auto" w:line="285" w:before="240" w:after="240"/>
        <w:ind w:left="0" w:right="0" w:hanging="0"/>
        <w:jc w:val="both"/>
        <w:rPr>
          <w:rFonts w:ascii="Times New Roman;Times;serif" w:hAnsi="Times New Roman;Times;serif"/>
          <w:sz w:val="20"/>
        </w:rPr>
      </w:pPr>
      <w:r>
        <w:rPr>
          <w:rFonts w:ascii="Times New Roman;Times;serif" w:hAnsi="Times New Roman;Times;serif"/>
          <w:sz w:val="20"/>
        </w:rPr>
        <w:t>Our TiO</w:t>
      </w:r>
      <w:r>
        <w:rPr>
          <w:rFonts w:ascii="Times New Roman;Times;serif" w:hAnsi="Times New Roman;Times;serif"/>
          <w:sz w:val="15"/>
        </w:rPr>
        <w:t>2</w:t>
      </w:r>
      <w:r>
        <w:rPr>
          <w:rFonts w:ascii="Times New Roman;Times;serif" w:hAnsi="Times New Roman;Times;serif"/>
          <w:sz w:val="20"/>
        </w:rPr>
        <w:t xml:space="preserve"> segment profit (see description of non-GAAP information below) was $41.0 million in the second quarter of 2026 compared to $10.9 million in the second quarter of 2025. For the first six months of 2026, our segment profit was $56.1 million compared to $52.5 million in the first six months of 2025. Segment profit increased in both the second quarter and first six months of 2026 compared to corresponding 2025 periods primarily due to higher sales volumes, lower production costs, including lower raw material costs (primarily feedstock) and lower unabsorbed fixed costs, and the benefits of the cost reduction initiatives implemented in the fourth quarter of 2025 designed to permanently improve our cost structure and operational efficiency. These favorable factors were partially offset by lower average TiO</w:t>
      </w:r>
      <w:r>
        <w:rPr>
          <w:rFonts w:ascii="Times New Roman;Times;serif" w:hAnsi="Times New Roman;Times;serif"/>
          <w:sz w:val="15"/>
        </w:rPr>
        <w:t>2</w:t>
      </w:r>
      <w:r>
        <w:rPr>
          <w:rFonts w:ascii="Times New Roman;Times;serif" w:hAnsi="Times New Roman;Times;serif"/>
          <w:sz w:val="20"/>
        </w:rPr>
        <w:t xml:space="preserve"> selling prices and the unfavorable impact of changes in currency exchange rates. Fluctuations in currency exchange rates (primarily the euro) decreased our segment profit by approximately $12 million in the second quarter of 2026 and approximately $18 million in the first six months of 2026 compared to the same prior year periods.</w:t>
      </w:r>
    </w:p>
    <w:p>
      <w:pPr>
        <w:pStyle w:val="TextBody"/>
        <w:bidi w:val="0"/>
        <w:spacing w:lineRule="auto" w:line="285" w:before="240" w:after="240"/>
        <w:ind w:left="0" w:right="0" w:hanging="0"/>
        <w:jc w:val="both"/>
        <w:rPr>
          <w:rFonts w:ascii="Times New Roman;Times;serif" w:hAnsi="Times New Roman;Times;serif"/>
          <w:sz w:val="20"/>
        </w:rPr>
      </w:pPr>
      <w:r>
        <w:rPr>
          <w:rFonts w:ascii="Times New Roman;Times;serif" w:hAnsi="Times New Roman;Times;serif"/>
          <w:sz w:val="20"/>
        </w:rPr>
        <w:t>Our net income (loss) before interest expense, income taxes and depreciation and amortization expense (EBITDA) (see description of non-GAAP information below) in the second quarter of 2026 was $52.9 million compared to EBITDA of $22.2 million in the second quarter of 2025. For the first six months of 2026, our EBITDA was $80.6 million compared to EBITDA of $73.4 million in the first six months of 2025.</w:t>
      </w:r>
    </w:p>
    <w:p>
      <w:pPr>
        <w:pStyle w:val="TextBody"/>
        <w:bidi w:val="0"/>
        <w:spacing w:lineRule="auto" w:line="285" w:before="240" w:after="240"/>
        <w:ind w:left="0" w:right="0" w:hanging="0"/>
        <w:jc w:val="both"/>
        <w:rPr>
          <w:rFonts w:ascii="Times New Roman;Times;serif" w:hAnsi="Times New Roman;Times;serif"/>
          <w:sz w:val="20"/>
        </w:rPr>
      </w:pPr>
      <w:r>
        <w:rPr>
          <w:rFonts w:ascii="Times New Roman;Times;serif" w:hAnsi="Times New Roman;Times;serif"/>
          <w:sz w:val="20"/>
        </w:rPr>
        <w:t>"Our second quarter results reflect solid progress against the priorities we established at the beginning of the year," said Brian Christian, President and Chief Executive Officer. "Higher sales volumes, improving operating performance and the benefits of our cost reduction initiatives contributed to stronger results during the quarter. We believe we have positive momentum entering the second half of 2026, driven by continued execution of our operational, commercial and cost reduction initiatives. While energy and related costs remain elevated, we expect ongoing pricing actions and disciplined cost management to help offset these pressures. Despite a challenging macroeconomic environment, we remain focused on controlling what we can control through disciplined execution, delivering sustainable earnings improvement and generating stronger cash flow."</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Our net income for the six months ended June 30, 2026 includes an income tax expense of $2.0 million ($.02 per share) to recognize an uncertain tax position related to a German tax audit.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 xml:space="preserve">The statements in this release relating to matters that are not historical facts are forward-looking statements that represent management's beliefs and assumptions based on currently available information. Although we believe that the expectations reflected in such forward-looking statements are reasonable, we cannot give any assurances that these expectations will prove to be correct. Such statements by their nature involve substantial risks and uncertainties that could significantly impact expected results, and actual future results could differ materially from those described in such forward-looking statements. While it is not possible to identify all factors, we continue to face many risks and uncertainties. The factors that could cause actual future results to differ materially include, but are not limited to, the following: </w:t>
      </w:r>
    </w:p>
    <w:p>
      <w:pPr>
        <w:pStyle w:val="TextBody"/>
        <w:bidi w:val="0"/>
        <w:spacing w:lineRule="auto" w:line="285" w:before="0" w:after="0"/>
        <w:ind w:left="0" w:right="0" w:hanging="0"/>
        <w:jc w:val="both"/>
        <w:rPr/>
      </w:pPr>
      <w:r>
        <w:rPr/>
        <w:t>​</w:t>
      </w:r>
    </w:p>
    <w:tbl>
      <w:tblPr>
        <w:tblW w:w="3768" w:type="dxa"/>
        <w:jc w:val="left"/>
        <w:tblInd w:w="0" w:type="dxa"/>
        <w:tblLayout w:type="fixed"/>
        <w:tblCellMar>
          <w:top w:w="0" w:type="dxa"/>
          <w:left w:w="0" w:type="dxa"/>
          <w:bottom w:w="0" w:type="dxa"/>
          <w:right w:w="0" w:type="dxa"/>
        </w:tblCellMar>
      </w:tblPr>
      <w:tblGrid>
        <w:gridCol w:w="23"/>
        <w:gridCol w:w="170"/>
        <w:gridCol w:w="35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supply and demand for our products;</w:t>
            </w:r>
          </w:p>
        </w:tc>
      </w:tr>
    </w:tbl>
    <w:tbl>
      <w:tblPr>
        <w:tblW w:w="7113" w:type="dxa"/>
        <w:jc w:val="left"/>
        <w:tblInd w:w="0" w:type="dxa"/>
        <w:tblLayout w:type="fixed"/>
        <w:tblCellMar>
          <w:top w:w="0" w:type="dxa"/>
          <w:left w:w="0" w:type="dxa"/>
          <w:bottom w:w="0" w:type="dxa"/>
          <w:right w:w="0" w:type="dxa"/>
        </w:tblCellMar>
      </w:tblPr>
      <w:tblGrid>
        <w:gridCol w:w="23"/>
        <w:gridCol w:w="170"/>
        <w:gridCol w:w="6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realize expected cost savings from strategic and operational initiatives;</w:t>
            </w:r>
          </w:p>
        </w:tc>
      </w:tr>
    </w:tbl>
    <w:tbl>
      <w:tblPr>
        <w:tblW w:w="8643" w:type="dxa"/>
        <w:jc w:val="left"/>
        <w:tblInd w:w="0" w:type="dxa"/>
        <w:tblLayout w:type="fixed"/>
        <w:tblCellMar>
          <w:top w:w="0" w:type="dxa"/>
          <w:left w:w="0" w:type="dxa"/>
          <w:bottom w:w="0" w:type="dxa"/>
          <w:right w:w="0" w:type="dxa"/>
        </w:tblCellMar>
      </w:tblPr>
      <w:tblGrid>
        <w:gridCol w:w="23"/>
        <w:gridCol w:w="170"/>
        <w:gridCol w:w="84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integrate acquisitions into our operations and realize expected synergies and innovations;</w:t>
            </w:r>
          </w:p>
        </w:tc>
      </w:tr>
    </w:tbl>
    <w:tbl>
      <w:tblPr>
        <w:tblW w:w="6963" w:type="dxa"/>
        <w:jc w:val="left"/>
        <w:tblInd w:w="0" w:type="dxa"/>
        <w:tblLayout w:type="fixed"/>
        <w:tblCellMar>
          <w:top w:w="0" w:type="dxa"/>
          <w:left w:w="0" w:type="dxa"/>
          <w:bottom w:w="0" w:type="dxa"/>
          <w:right w:w="0" w:type="dxa"/>
        </w:tblCellMar>
      </w:tblPr>
      <w:tblGrid>
        <w:gridCol w:w="23"/>
        <w:gridCol w:w="170"/>
        <w:gridCol w:w="67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of the dependence of certain of our businesses on certain market sectors;</w:t>
            </w:r>
          </w:p>
        </w:tc>
      </w:tr>
    </w:tbl>
    <w:tbl>
      <w:tblPr>
        <w:tblW w:w="2763" w:type="dxa"/>
        <w:jc w:val="left"/>
        <w:tblInd w:w="0" w:type="dxa"/>
        <w:tblLayout w:type="fixed"/>
        <w:tblCellMar>
          <w:top w:w="0" w:type="dxa"/>
          <w:left w:w="0" w:type="dxa"/>
          <w:bottom w:w="0" w:type="dxa"/>
          <w:right w:w="0" w:type="dxa"/>
        </w:tblCellMar>
      </w:tblPr>
      <w:tblGrid>
        <w:gridCol w:w="23"/>
        <w:gridCol w:w="170"/>
        <w:gridCol w:w="25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cyclicality of our business;</w:t>
            </w:r>
          </w:p>
        </w:tc>
      </w:tr>
    </w:tbl>
    <w:tbl>
      <w:tblPr>
        <w:tblW w:w="3528" w:type="dxa"/>
        <w:jc w:val="left"/>
        <w:tblInd w:w="0" w:type="dxa"/>
        <w:tblLayout w:type="fixed"/>
        <w:tblCellMar>
          <w:top w:w="0" w:type="dxa"/>
          <w:left w:w="0" w:type="dxa"/>
          <w:bottom w:w="0" w:type="dxa"/>
          <w:right w:w="0" w:type="dxa"/>
        </w:tblCellMar>
      </w:tblPr>
      <w:tblGrid>
        <w:gridCol w:w="23"/>
        <w:gridCol w:w="170"/>
        <w:gridCol w:w="3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producer inventory levels;</w:t>
            </w:r>
          </w:p>
        </w:tc>
      </w:tr>
    </w:tbl>
    <w:tbl>
      <w:tblPr>
        <w:tblW w:w="5568" w:type="dxa"/>
        <w:jc w:val="left"/>
        <w:tblInd w:w="0" w:type="dxa"/>
        <w:tblLayout w:type="fixed"/>
        <w:tblCellMar>
          <w:top w:w="0" w:type="dxa"/>
          <w:left w:w="0" w:type="dxa"/>
          <w:bottom w:w="0" w:type="dxa"/>
          <w:right w:w="0" w:type="dxa"/>
        </w:tblCellMar>
      </w:tblPr>
      <w:tblGrid>
        <w:gridCol w:w="23"/>
        <w:gridCol w:w="170"/>
        <w:gridCol w:w="53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or earlier-than-expected industry capacity expansion;</w:t>
            </w:r>
          </w:p>
        </w:tc>
      </w:tr>
    </w:tbl>
    <w:tbl>
      <w:tblPr>
        <w:tblW w:w="6753" w:type="dxa"/>
        <w:jc w:val="left"/>
        <w:tblInd w:w="0" w:type="dxa"/>
        <w:tblLayout w:type="fixed"/>
        <w:tblCellMar>
          <w:top w:w="0" w:type="dxa"/>
          <w:left w:w="0" w:type="dxa"/>
          <w:bottom w:w="0" w:type="dxa"/>
          <w:right w:w="0" w:type="dxa"/>
        </w:tblCellMar>
      </w:tblPr>
      <w:tblGrid>
        <w:gridCol w:w="23"/>
        <w:gridCol w:w="170"/>
        <w:gridCol w:w="65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raw material and other operating costs (such as energy and ore costs);</w:t>
            </w:r>
          </w:p>
        </w:tc>
      </w:tr>
    </w:tbl>
    <w:tbl>
      <w:tblPr>
        <w:tblW w:w="4848" w:type="dxa"/>
        <w:jc w:val="left"/>
        <w:tblInd w:w="0" w:type="dxa"/>
        <w:tblLayout w:type="fixed"/>
        <w:tblCellMar>
          <w:top w:w="0" w:type="dxa"/>
          <w:left w:w="0" w:type="dxa"/>
          <w:bottom w:w="0" w:type="dxa"/>
          <w:right w:w="0" w:type="dxa"/>
        </w:tblCellMar>
      </w:tblPr>
      <w:tblGrid>
        <w:gridCol w:w="23"/>
        <w:gridCol w:w="170"/>
        <w:gridCol w:w="465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availability of raw materials (such as ore);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General global economic and political conditions that harm the worldwide economy, disrupt our supply chain, increase material and energy costs or reduce demand or perceived demand for our titanium dioxide pigments (“TiO</w:t>
            </w:r>
            <w:r>
              <w:rPr>
                <w:rFonts w:ascii="Times New Roman;Times;serif" w:hAnsi="Times New Roman;Times;serif"/>
                <w:b w:val="false"/>
                <w:i w:val="false"/>
                <w:caps w:val="false"/>
                <w:smallCaps w:val="false"/>
                <w:sz w:val="15"/>
              </w:rPr>
              <w:t>2</w:t>
            </w:r>
            <w:r>
              <w:rPr>
                <w:caps w:val="false"/>
                <w:smallCaps w:val="false"/>
              </w:rPr>
              <w:t>”</w:t>
            </w:r>
            <w:r>
              <w:rPr>
                <w:rFonts w:ascii="Times New Roman;Times;serif" w:hAnsi="Times New Roman;Times;serif"/>
                <w:b w:val="false"/>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products or impair our ability to operate our facilities (including changes in the level of gross domestic product in various regions of the world, tariffs, natural disasters, terrorist acts, global conflicts and public health crises);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interruptions (including, but not limited to, labor disputes, leaks, natural disasters, fires, explosions, unscheduled or unplanned downtime, transportation interruptions, certain regional and world events or economic conditions and public health crises);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related disruptions (including, but not limited to, cyber-attacks; software implementation, upgrades or improvements; technology processing failures; or other events) related to our technology infrastructure (including manufacturing and accounting systems) that could impact our ability to continue operations, or at key vendors which could impact our supply chain, or at key customers which could impact their operations and cause them to curtail or pause orders;</w:t>
            </w:r>
          </w:p>
        </w:tc>
      </w:tr>
    </w:tbl>
    <w:tbl>
      <w:tblPr>
        <w:tblW w:w="3978" w:type="dxa"/>
        <w:jc w:val="left"/>
        <w:tblInd w:w="0" w:type="dxa"/>
        <w:tblLayout w:type="fixed"/>
        <w:tblCellMar>
          <w:top w:w="0" w:type="dxa"/>
          <w:left w:w="0" w:type="dxa"/>
          <w:bottom w:w="0" w:type="dxa"/>
          <w:right w:w="0" w:type="dxa"/>
        </w:tblCellMar>
      </w:tblPr>
      <w:tblGrid>
        <w:gridCol w:w="23"/>
        <w:gridCol w:w="170"/>
        <w:gridCol w:w="37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products and substitute products;</w:t>
            </w:r>
          </w:p>
        </w:tc>
      </w:tr>
    </w:tbl>
    <w:tbl>
      <w:tblPr>
        <w:tblW w:w="9273" w:type="dxa"/>
        <w:jc w:val="left"/>
        <w:tblInd w:w="0" w:type="dxa"/>
        <w:tblLayout w:type="fixed"/>
        <w:tblCellMar>
          <w:top w:w="0" w:type="dxa"/>
          <w:left w:w="0" w:type="dxa"/>
          <w:bottom w:w="0" w:type="dxa"/>
          <w:right w:w="0" w:type="dxa"/>
        </w:tblCellMar>
      </w:tblPr>
      <w:tblGrid>
        <w:gridCol w:w="23"/>
        <w:gridCol w:w="170"/>
        <w:gridCol w:w="90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Chinese suppliers with less stringent regulatory and environmental compliance requirements;</w:t>
            </w:r>
          </w:p>
        </w:tc>
      </w:tr>
    </w:tbl>
    <w:tbl>
      <w:tblPr>
        <w:tblW w:w="3138" w:type="dxa"/>
        <w:jc w:val="left"/>
        <w:tblInd w:w="0" w:type="dxa"/>
        <w:tblLayout w:type="fixed"/>
        <w:tblCellMar>
          <w:top w:w="0" w:type="dxa"/>
          <w:left w:w="0" w:type="dxa"/>
          <w:bottom w:w="0" w:type="dxa"/>
          <w:right w:w="0" w:type="dxa"/>
        </w:tblCellMar>
      </w:tblPr>
      <w:tblGrid>
        <w:gridCol w:w="23"/>
        <w:gridCol w:w="170"/>
        <w:gridCol w:w="29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and competitor strategies;</w:t>
            </w:r>
          </w:p>
        </w:tc>
      </w:tr>
    </w:tbl>
    <w:tbl>
      <w:tblPr>
        <w:tblW w:w="3708" w:type="dxa"/>
        <w:jc w:val="left"/>
        <w:tblInd w:w="0" w:type="dxa"/>
        <w:tblLayout w:type="fixed"/>
        <w:tblCellMar>
          <w:top w:w="0" w:type="dxa"/>
          <w:left w:w="0" w:type="dxa"/>
          <w:bottom w:w="0" w:type="dxa"/>
          <w:right w:w="0" w:type="dxa"/>
        </w:tblCellMar>
      </w:tblPr>
      <w:tblGrid>
        <w:gridCol w:w="23"/>
        <w:gridCol w:w="170"/>
        <w:gridCol w:w="3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consolidation of our competitors;</w:t>
            </w:r>
          </w:p>
        </w:tc>
      </w:tr>
    </w:tbl>
    <w:tbl>
      <w:tblPr>
        <w:tblW w:w="3558" w:type="dxa"/>
        <w:jc w:val="left"/>
        <w:tblInd w:w="0" w:type="dxa"/>
        <w:tblLayout w:type="fixed"/>
        <w:tblCellMar>
          <w:top w:w="0" w:type="dxa"/>
          <w:left w:w="0" w:type="dxa"/>
          <w:bottom w:w="0" w:type="dxa"/>
          <w:right w:w="0" w:type="dxa"/>
        </w:tblCellMar>
      </w:tblPr>
      <w:tblGrid>
        <w:gridCol w:w="23"/>
        <w:gridCol w:w="170"/>
        <w:gridCol w:w="33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consolidation of our customers;</w:t>
            </w:r>
          </w:p>
        </w:tc>
      </w:tr>
    </w:tbl>
    <w:tbl>
      <w:tblPr>
        <w:tblW w:w="4128" w:type="dxa"/>
        <w:jc w:val="left"/>
        <w:tblInd w:w="0" w:type="dxa"/>
        <w:tblLayout w:type="fixed"/>
        <w:tblCellMar>
          <w:top w:w="0" w:type="dxa"/>
          <w:left w:w="0" w:type="dxa"/>
          <w:bottom w:w="0" w:type="dxa"/>
          <w:right w:w="0" w:type="dxa"/>
        </w:tblCellMar>
      </w:tblPr>
      <w:tblGrid>
        <w:gridCol w:w="23"/>
        <w:gridCol w:w="170"/>
        <w:gridCol w:w="39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pricing and production decisions;</w:t>
            </w:r>
          </w:p>
        </w:tc>
      </w:tr>
    </w:tbl>
    <w:tbl>
      <w:tblPr>
        <w:tblW w:w="3063" w:type="dxa"/>
        <w:jc w:val="left"/>
        <w:tblInd w:w="0" w:type="dxa"/>
        <w:tblLayout w:type="fixed"/>
        <w:tblCellMar>
          <w:top w:w="0" w:type="dxa"/>
          <w:left w:w="0" w:type="dxa"/>
          <w:bottom w:w="0" w:type="dxa"/>
          <w:right w:w="0" w:type="dxa"/>
        </w:tblCellMar>
      </w:tblPr>
      <w:tblGrid>
        <w:gridCol w:w="23"/>
        <w:gridCol w:w="170"/>
        <w:gridCol w:w="2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technology positions;</w:t>
            </w:r>
          </w:p>
        </w:tc>
      </w:tr>
    </w:tbl>
    <w:tbl>
      <w:tblPr>
        <w:tblW w:w="7188" w:type="dxa"/>
        <w:jc w:val="left"/>
        <w:tblInd w:w="0" w:type="dxa"/>
        <w:tblLayout w:type="fixed"/>
        <w:tblCellMar>
          <w:top w:w="0" w:type="dxa"/>
          <w:left w:w="0" w:type="dxa"/>
          <w:bottom w:w="0" w:type="dxa"/>
          <w:right w:w="0" w:type="dxa"/>
        </w:tblCellMar>
      </w:tblPr>
      <w:tblGrid>
        <w:gridCol w:w="23"/>
        <w:gridCol w:w="170"/>
        <w:gridCol w:w="699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new, or changes in existing, tariffs, trade barriers or trade disputes;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currency exchange rates (such as changes in the exchange rate between the U.S. dollar and each of the euro, the Norwegian krone and the Canadian dollar and between the euro and the Norwegian krone), or possible disruptions to our business resulting from uncertainties associated with the euro or other currencies;</w:t>
            </w:r>
          </w:p>
        </w:tc>
      </w:tr>
    </w:tbl>
    <w:tbl>
      <w:tblPr>
        <w:tblW w:w="7263" w:type="dxa"/>
        <w:jc w:val="left"/>
        <w:tblInd w:w="0" w:type="dxa"/>
        <w:tblLayout w:type="fixed"/>
        <w:tblCellMar>
          <w:top w:w="0" w:type="dxa"/>
          <w:left w:w="0" w:type="dxa"/>
          <w:bottom w:w="0" w:type="dxa"/>
          <w:right w:w="0" w:type="dxa"/>
        </w:tblCellMar>
      </w:tblPr>
      <w:tblGrid>
        <w:gridCol w:w="23"/>
        <w:gridCol w:w="170"/>
        <w:gridCol w:w="70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renew or refinance credit facilities or other debt instruments in the future;</w:t>
            </w:r>
          </w:p>
        </w:tc>
      </w:tr>
    </w:tbl>
    <w:tbl>
      <w:tblPr>
        <w:tblW w:w="2253" w:type="dxa"/>
        <w:jc w:val="left"/>
        <w:tblInd w:w="0" w:type="dxa"/>
        <w:tblLayout w:type="fixed"/>
        <w:tblCellMar>
          <w:top w:w="0" w:type="dxa"/>
          <w:left w:w="0" w:type="dxa"/>
          <w:bottom w:w="0" w:type="dxa"/>
          <w:right w:w="0" w:type="dxa"/>
        </w:tblCellMar>
      </w:tblPr>
      <w:tblGrid>
        <w:gridCol w:w="23"/>
        <w:gridCol w:w="170"/>
        <w:gridCol w:w="20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w:t>
            </w:r>
          </w:p>
        </w:tc>
      </w:tr>
    </w:tbl>
    <w:tbl>
      <w:tblPr>
        <w:tblW w:w="7113" w:type="dxa"/>
        <w:jc w:val="left"/>
        <w:tblInd w:w="0" w:type="dxa"/>
        <w:tblLayout w:type="fixed"/>
        <w:tblCellMar>
          <w:top w:w="0" w:type="dxa"/>
          <w:left w:w="0" w:type="dxa"/>
          <w:bottom w:w="0" w:type="dxa"/>
          <w:right w:w="0" w:type="dxa"/>
        </w:tblCellMar>
      </w:tblPr>
      <w:tblGrid>
        <w:gridCol w:w="23"/>
        <w:gridCol w:w="170"/>
        <w:gridCol w:w="69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covenants contained in our revolving bank credit facility;</w:t>
            </w:r>
          </w:p>
        </w:tc>
      </w:tr>
    </w:tbl>
    <w:tbl>
      <w:tblPr>
        <w:tblW w:w="3708" w:type="dxa"/>
        <w:jc w:val="left"/>
        <w:tblInd w:w="0" w:type="dxa"/>
        <w:tblLayout w:type="fixed"/>
        <w:tblCellMar>
          <w:top w:w="0" w:type="dxa"/>
          <w:left w:w="0" w:type="dxa"/>
          <w:bottom w:w="0" w:type="dxa"/>
          <w:right w:w="0" w:type="dxa"/>
        </w:tblCellMar>
      </w:tblPr>
      <w:tblGrid>
        <w:gridCol w:w="23"/>
        <w:gridCol w:w="170"/>
        <w:gridCol w:w="35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sufficient liquidity;</w:t>
            </w:r>
          </w:p>
        </w:tc>
      </w:tr>
    </w:tbl>
    <w:tbl>
      <w:tblPr>
        <w:tblW w:w="9738" w:type="dxa"/>
        <w:jc w:val="left"/>
        <w:tblInd w:w="0" w:type="dxa"/>
        <w:tblLayout w:type="fixed"/>
        <w:tblCellMar>
          <w:top w:w="0" w:type="dxa"/>
          <w:left w:w="0" w:type="dxa"/>
          <w:bottom w:w="0" w:type="dxa"/>
          <w:right w:w="0" w:type="dxa"/>
        </w:tblCellMar>
      </w:tblPr>
      <w:tblGrid>
        <w:gridCol w:w="23"/>
        <w:gridCol w:w="170"/>
        <w:gridCol w:w="95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outcome of income tax audits, tax settlement initiatives or other tax matters, including future tax reform;</w:t>
            </w:r>
          </w:p>
        </w:tc>
      </w:tr>
    </w:tbl>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 of 5</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utilize income tax attributes, the benefits of which may or may not have been recognized under the more-likely-than-not recognition criteria;</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matters (such as those requiring compliance with emission and discharge standards for existing and new facilities);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Government laws and regulations and possible changes therein including new environmental, sustainability, health and safety, or other regulations (such as those seeking to limit or classify TiO</w:t>
            </w:r>
            <w:r>
              <w:rPr>
                <w:rFonts w:ascii="Times New Roman;Times;serif" w:hAnsi="Times New Roman;Times;serif"/>
                <w:b w:val="false"/>
                <w:i w:val="false"/>
                <w:caps w:val="false"/>
                <w:smallCaps w:val="false"/>
                <w:sz w:val="15"/>
              </w:rPr>
              <w:t xml:space="preserve">2 </w:t>
            </w:r>
            <w:r>
              <w:rPr>
                <w:rFonts w:ascii="Times New Roman;Times;serif" w:hAnsi="Times New Roman;Times;serif"/>
                <w:b w:val="false"/>
                <w:i w:val="false"/>
                <w:caps w:val="false"/>
                <w:smallCaps w:val="false"/>
                <w:sz w:val="20"/>
              </w:rPr>
              <w:t>or its use); and</w:t>
            </w:r>
          </w:p>
        </w:tc>
      </w:tr>
    </w:tbl>
    <w:tbl>
      <w:tblPr>
        <w:tblW w:w="4503" w:type="dxa"/>
        <w:jc w:val="left"/>
        <w:tblInd w:w="0" w:type="dxa"/>
        <w:tblLayout w:type="fixed"/>
        <w:tblCellMar>
          <w:top w:w="0" w:type="dxa"/>
          <w:left w:w="0" w:type="dxa"/>
          <w:bottom w:w="0" w:type="dxa"/>
          <w:right w:w="0" w:type="dxa"/>
        </w:tblCellMar>
      </w:tblPr>
      <w:tblGrid>
        <w:gridCol w:w="23"/>
        <w:gridCol w:w="170"/>
        <w:gridCol w:w="43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or possible future litigation or other actions.</w:t>
            </w:r>
          </w:p>
        </w:tc>
      </w:tr>
    </w:tbl>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Should one or more of these risks materialize (or the consequences of such a development worsen), or should the underlying assumptions prove incorrect, actual results could differ materially from those forecasted or expected. The Company disclaims any intention or obligation to update or revise any forward-looking statement whether as a result of changes in information, future events or otherwise.</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In an effort to provide investors with additional information regarding the Company's results of operations as determined by accounting principles generally accepted in the United States of America (GAAP), the Company has disclosed certain non-GAAP information which the Company believes provides useful information to investors: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discloses segment profit, which is used by the Company’s management to assess the performance of the Company’s TiO</w:t>
            </w:r>
            <w:r>
              <w:rPr>
                <w:rFonts w:ascii="Times New Roman;Times;serif" w:hAnsi="Times New Roman;Times;serif"/>
                <w:b w:val="false"/>
                <w:i w:val="false"/>
                <w:caps w:val="false"/>
                <w:smallCaps w:val="false"/>
                <w:sz w:val="15"/>
              </w:rPr>
              <w:t xml:space="preserve">2 </w:t>
            </w:r>
            <w:r>
              <w:rPr>
                <w:rFonts w:ascii="Times New Roman;Times;serif" w:hAnsi="Times New Roman;Times;serif"/>
                <w:b w:val="false"/>
                <w:i w:val="false"/>
                <w:caps w:val="false"/>
                <w:smallCaps w:val="false"/>
                <w:sz w:val="20"/>
              </w:rPr>
              <w:t>operations. The Company believes disclosure of segment profit provides useful information to investors because it allows investors to analyze the performance of the Company’s TiO</w:t>
            </w:r>
            <w:r>
              <w:rPr>
                <w:rFonts w:ascii="Times New Roman;Times;serif" w:hAnsi="Times New Roman;Times;serif"/>
                <w:b w:val="false"/>
                <w:i w:val="false"/>
                <w:caps w:val="false"/>
                <w:smallCaps w:val="false"/>
                <w:sz w:val="15"/>
              </w:rPr>
              <w:t xml:space="preserve">2 </w:t>
            </w:r>
            <w:r>
              <w:rPr>
                <w:rFonts w:ascii="Times New Roman;Times;serif" w:hAnsi="Times New Roman;Times;serif"/>
                <w:b w:val="false"/>
                <w:i w:val="false"/>
                <w:caps w:val="false"/>
                <w:smallCaps w:val="false"/>
                <w:sz w:val="20"/>
              </w:rPr>
              <w:t>operations in the same way that the Company’s management assesses performance. The Company defines segment profit as net income (loss) before income tax expense and certain general corporate items. These general corporate items include corporate expense and the components of other income (expense) except for trade interest income;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discloses EBITDA, which is also used by the Company’s management to assess the performance of the Company’s TiO</w:t>
            </w:r>
            <w:r>
              <w:rPr>
                <w:rFonts w:ascii="Times New Roman;Times;serif" w:hAnsi="Times New Roman;Times;serif"/>
                <w:b w:val="false"/>
                <w:i w:val="false"/>
                <w:caps w:val="false"/>
                <w:smallCaps w:val="false"/>
                <w:sz w:val="15"/>
              </w:rPr>
              <w:t xml:space="preserve">2 </w:t>
            </w:r>
            <w:r>
              <w:rPr>
                <w:rFonts w:ascii="Times New Roman;Times;serif" w:hAnsi="Times New Roman;Times;serif"/>
                <w:b w:val="false"/>
                <w:i w:val="false"/>
                <w:caps w:val="false"/>
                <w:smallCaps w:val="false"/>
                <w:sz w:val="20"/>
              </w:rPr>
              <w:t>operations. The Company believes disclosure of EBITDA provides useful information to investors because it allows investors to analyze the performance of the Company’s TiO</w:t>
            </w:r>
            <w:r>
              <w:rPr>
                <w:rFonts w:ascii="Times New Roman;Times;serif" w:hAnsi="Times New Roman;Times;serif"/>
                <w:b w:val="false"/>
                <w:i w:val="false"/>
                <w:caps w:val="false"/>
                <w:smallCaps w:val="false"/>
                <w:sz w:val="15"/>
              </w:rPr>
              <w:t xml:space="preserve">2 </w:t>
            </w:r>
            <w:r>
              <w:rPr>
                <w:rFonts w:ascii="Times New Roman;Times;serif" w:hAnsi="Times New Roman;Times;serif"/>
                <w:b w:val="false"/>
                <w:i w:val="false"/>
                <w:caps w:val="false"/>
                <w:smallCaps w:val="false"/>
                <w:sz w:val="20"/>
              </w:rPr>
              <w:t>operations in the same way that the Company’s management assesses performance. The Company defines EBITDA as net income (loss) before interest expense, income taxes and depreciation and amortization expense</w:t>
            </w:r>
            <w:r>
              <w:rPr>
                <w:rFonts w:ascii="Times New Roman;Times;serif" w:hAnsi="Times New Roman;Times;serif"/>
                <w:b w:val="false"/>
                <w:i w:val="false"/>
                <w:caps w:val="false"/>
                <w:smallCaps w:val="false"/>
                <w:sz w:val="24"/>
              </w:rPr>
              <w:t>.</w:t>
            </w:r>
          </w:p>
        </w:tc>
      </w:tr>
    </w:tbl>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Kronos Worldwide, Inc. is a major international producer of titanium dioxide products.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Investor Relations Contact: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Bryan A. Hanley</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&amp; Treasurer</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Tel: (972) 233-1700</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 of 5</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KRONOS WORLDWIDE, INC.</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CONDENSED CONSOLIDATED STATEMENTS OF OPERATIONS</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 millions, except per share and metric ton data)</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pPr>
      <w:r>
        <w:rPr/>
        <w:t>​</w:t>
      </w:r>
    </w:p>
    <w:tbl>
      <w:tblPr>
        <w:tblW w:w="8488" w:type="dxa"/>
        <w:jc w:val="center"/>
        <w:tblInd w:w="0" w:type="dxa"/>
        <w:tblLayout w:type="fixed"/>
        <w:tblCellMar>
          <w:top w:w="0" w:type="dxa"/>
          <w:left w:w="0" w:type="dxa"/>
          <w:bottom w:w="0" w:type="dxa"/>
          <w:right w:w="0" w:type="dxa"/>
        </w:tblCellMar>
      </w:tblPr>
      <w:tblGrid>
        <w:gridCol w:w="3736"/>
        <w:gridCol w:w="346"/>
        <w:gridCol w:w="211"/>
        <w:gridCol w:w="586"/>
        <w:gridCol w:w="346"/>
        <w:gridCol w:w="211"/>
        <w:gridCol w:w="586"/>
        <w:gridCol w:w="346"/>
        <w:gridCol w:w="211"/>
        <w:gridCol w:w="586"/>
        <w:gridCol w:w="346"/>
        <w:gridCol w:w="211"/>
        <w:gridCol w:w="76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372360" cy="175260"/>
                      <wp:effectExtent l="0" t="0" r="0" b="0"/>
                      <wp:wrapNone/>
                      <wp:docPr id="16" name="Frame15"/>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7"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8"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372110" cy="175260"/>
                      <wp:effectExtent l="0" t="0" r="0" b="0"/>
                      <wp:wrapNone/>
                      <wp:docPr id="19" name="Frame1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0"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1"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72110" cy="175260"/>
                      <wp:effectExtent l="0" t="0" r="0" b="0"/>
                      <wp:wrapNone/>
                      <wp:docPr id="22" name="Frame2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3"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4"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72110" cy="175260"/>
                      <wp:effectExtent l="0" t="0" r="0" b="0"/>
                      <wp:wrapNone/>
                      <wp:docPr id="25" name="Frame2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6"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7"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87045" cy="175260"/>
                      <wp:effectExtent l="0" t="0" r="0" b="0"/>
                      <wp:wrapNone/>
                      <wp:docPr id="28" name="Frame27"/>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94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46" w:type="dxa"/>
            <w:tcBorders/>
            <w:vAlign w:val="center"/>
          </w:tcPr>
          <w:p>
            <w:pPr>
              <w:pStyle w:val="TableContents"/>
              <w:bidi w:val="0"/>
              <w:spacing w:lineRule="auto" w:line="285" w:before="0" w:after="0"/>
              <w:ind w:left="0" w:right="0" w:hanging="0"/>
              <w:jc w:val="center"/>
              <w:rPr/>
            </w:pPr>
            <w:r>
              <w:rPr/>
              <w:t>​</w:t>
            </w:r>
          </w:p>
        </w:tc>
        <w:tc>
          <w:tcPr>
            <w:tcW w:w="212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37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94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c>
          <w:tcPr>
            <w:tcW w:w="346" w:type="dxa"/>
            <w:tcBorders/>
            <w:vAlign w:val="center"/>
          </w:tcPr>
          <w:p>
            <w:pPr>
              <w:pStyle w:val="TableContents"/>
              <w:bidi w:val="0"/>
              <w:spacing w:lineRule="auto" w:line="285" w:before="0" w:after="0"/>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r>
      <w:tr>
        <w:trPr/>
        <w:tc>
          <w:tcPr>
            <w:tcW w:w="37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lineRule="auto" w:line="285"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346" w:type="dxa"/>
            <w:tcBorders/>
            <w:vAlign w:val="center"/>
          </w:tcPr>
          <w:p>
            <w:pPr>
              <w:pStyle w:val="TableContents"/>
              <w:bidi w:val="0"/>
              <w:spacing w:lineRule="auto" w:line="285" w:before="0" w:after="0"/>
              <w:ind w:left="0" w:right="0" w:hanging="0"/>
              <w:jc w:val="center"/>
              <w:rPr/>
            </w:pPr>
            <w:r>
              <w:rPr/>
              <w:t>​</w:t>
            </w:r>
          </w:p>
        </w:tc>
        <w:tc>
          <w:tcPr>
            <w:tcW w:w="7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lineRule="auto" w:line="285" w:before="0" w:after="0"/>
              <w:ind w:left="0" w:right="0" w:hanging="0"/>
              <w:jc w:val="center"/>
              <w:rPr/>
            </w:pPr>
            <w:r>
              <w:rPr/>
              <w:t>​</w:t>
            </w:r>
          </w:p>
        </w:tc>
        <w:tc>
          <w:tcPr>
            <w:tcW w:w="97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848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7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406" w:type="dxa"/>
            <w:gridSpan w:val="11"/>
            <w:tcBorders/>
            <w:vAlign w:val="center"/>
          </w:tcPr>
          <w:p>
            <w:pPr>
              <w:pStyle w:val="TableContents"/>
              <w:bidi w:val="0"/>
              <w:spacing w:lineRule="auto" w:line="285" w:before="0" w:after="0"/>
              <w:ind w:left="0" w:right="0" w:hanging="0"/>
              <w:jc w:val="center"/>
              <w:rPr/>
            </w:pPr>
            <w:r>
              <w:rPr/>
              <w:t>​</w:t>
            </w:r>
          </w:p>
        </w:tc>
      </w:tr>
      <w:tr>
        <w:trPr/>
        <w:tc>
          <w:tcPr>
            <w:tcW w:w="37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494.4</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558.1</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984.2</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1,067.9</w:t>
            </w:r>
          </w:p>
        </w:tc>
      </w:tr>
      <w:tr>
        <w:trPr/>
        <w:tc>
          <w:tcPr>
            <w:tcW w:w="37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431.6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455.3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814.5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881.8</w:t>
            </w:r>
          </w:p>
        </w:tc>
      </w:tr>
      <w:tr>
        <w:trPr/>
        <w:tc>
          <w:tcPr>
            <w:tcW w:w="37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left"/>
              <w:rPr/>
            </w:pPr>
            <w:r>
              <w:rPr/>
              <w:t>​</w:t>
            </w:r>
          </w:p>
        </w:tc>
      </w:tr>
      <w:tr>
        <w:trPr/>
        <w:tc>
          <w:tcPr>
            <w:tcW w:w="37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102.8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186.1</w:t>
            </w:r>
          </w:p>
        </w:tc>
      </w:tr>
      <w:tr>
        <w:trPr/>
        <w:tc>
          <w:tcPr>
            <w:tcW w:w="37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left"/>
              <w:rPr/>
            </w:pPr>
            <w:r>
              <w:rPr/>
              <w:t>​</w:t>
            </w:r>
          </w:p>
        </w:tc>
      </w:tr>
      <w:tr>
        <w:trPr/>
        <w:tc>
          <w:tcPr>
            <w:tcW w:w="37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64.5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123.7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128.1</w:t>
            </w:r>
          </w:p>
        </w:tc>
      </w:tr>
      <w:tr>
        <w:trPr/>
        <w:tc>
          <w:tcPr>
            <w:tcW w:w="37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operating income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66" w:type="dxa"/>
            <w:tcBorders/>
            <w:shd w:fill="CCEEFF" w:val="clear"/>
            <w:vAlign w:val="center"/>
          </w:tcPr>
          <w:p>
            <w:pPr>
              <w:pStyle w:val="TableContents"/>
              <w:bidi w:val="0"/>
              <w:spacing w:lineRule="auto" w:line="285" w:before="0" w:after="0"/>
              <w:ind w:left="0" w:right="0" w:hanging="0"/>
              <w:jc w:val="right"/>
              <w:rPr/>
            </w:pPr>
            <w:r>
              <w:rPr/>
              <w:t>  ​</w:t>
            </w:r>
          </w:p>
        </w:tc>
      </w:tr>
      <w:tr>
        <w:trPr/>
        <w:tc>
          <w:tcPr>
            <w:tcW w:w="37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Currency transactions, net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(5.9)</w:t>
            </w:r>
          </w:p>
        </w:tc>
      </w:tr>
      <w:tr>
        <w:trPr/>
        <w:tc>
          <w:tcPr>
            <w:tcW w:w="37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3.7</w:t>
            </w:r>
          </w:p>
        </w:tc>
      </w:tr>
      <w:tr>
        <w:trPr/>
        <w:tc>
          <w:tcPr>
            <w:tcW w:w="37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Corporate expense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(3.2)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(5.6)</w:t>
            </w:r>
          </w:p>
        </w:tc>
      </w:tr>
      <w:tr>
        <w:trPr/>
        <w:tc>
          <w:tcPr>
            <w:tcW w:w="37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left"/>
              <w:rPr/>
            </w:pPr>
            <w:r>
              <w:rPr/>
              <w:t>​</w:t>
            </w:r>
          </w:p>
        </w:tc>
      </w:tr>
      <w:tr>
        <w:trPr/>
        <w:tc>
          <w:tcPr>
            <w:tcW w:w="37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37.6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50.2</w:t>
            </w:r>
          </w:p>
        </w:tc>
      </w:tr>
      <w:tr>
        <w:trPr/>
        <w:tc>
          <w:tcPr>
            <w:tcW w:w="37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left"/>
              <w:rPr/>
            </w:pPr>
            <w:r>
              <w:rPr/>
              <w:t>​</w:t>
            </w:r>
          </w:p>
        </w:tc>
      </w:tr>
      <w:tr>
        <w:trPr/>
        <w:tc>
          <w:tcPr>
            <w:tcW w:w="37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66" w:type="dxa"/>
            <w:tcBorders/>
            <w:vAlign w:val="center"/>
          </w:tcPr>
          <w:p>
            <w:pPr>
              <w:pStyle w:val="TableContents"/>
              <w:bidi w:val="0"/>
              <w:spacing w:lineRule="auto" w:line="285" w:before="0" w:after="0"/>
              <w:ind w:left="0" w:right="0" w:hanging="0"/>
              <w:jc w:val="right"/>
              <w:rPr/>
            </w:pPr>
            <w:r>
              <w:rPr/>
              <w:t>  ​</w:t>
            </w:r>
          </w:p>
        </w:tc>
      </w:tr>
      <w:tr>
        <w:trPr/>
        <w:tc>
          <w:tcPr>
            <w:tcW w:w="37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Trade interest income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37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interest and dividend income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r>
      <w:tr>
        <w:trPr/>
        <w:tc>
          <w:tcPr>
            <w:tcW w:w="37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equity securities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3736"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components of net periodic pension </w:t>
              <w:br/>
              <w:t>and OPEB cost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r>
      <w:tr>
        <w:trPr/>
        <w:tc>
          <w:tcPr>
            <w:tcW w:w="37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(14.2)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(28.5)</w:t>
            </w:r>
          </w:p>
        </w:tc>
      </w:tr>
      <w:tr>
        <w:trPr/>
        <w:tc>
          <w:tcPr>
            <w:tcW w:w="37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left"/>
              <w:rPr/>
            </w:pPr>
            <w:r>
              <w:rPr/>
              <w:t>​</w:t>
            </w:r>
          </w:p>
        </w:tc>
      </w:tr>
      <w:tr>
        <w:trPr/>
        <w:tc>
          <w:tcPr>
            <w:tcW w:w="37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20.9</w:t>
            </w:r>
          </w:p>
        </w:tc>
      </w:tr>
      <w:tr>
        <w:trPr/>
        <w:tc>
          <w:tcPr>
            <w:tcW w:w="37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left"/>
              <w:rPr/>
            </w:pPr>
            <w:r>
              <w:rPr/>
              <w:t>​</w:t>
            </w:r>
          </w:p>
        </w:tc>
      </w:tr>
      <w:tr>
        <w:trPr/>
        <w:tc>
          <w:tcPr>
            <w:tcW w:w="37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7.7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10.5</w:t>
            </w:r>
          </w:p>
        </w:tc>
      </w:tr>
      <w:tr>
        <w:trPr/>
        <w:tc>
          <w:tcPr>
            <w:tcW w:w="37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left"/>
              <w:rPr/>
            </w:pPr>
            <w:r>
              <w:rPr/>
              <w:t>​</w:t>
            </w:r>
          </w:p>
        </w:tc>
      </w:tr>
      <w:tr>
        <w:trPr/>
        <w:tc>
          <w:tcPr>
            <w:tcW w:w="37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15.2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10.4</w:t>
            </w:r>
          </w:p>
        </w:tc>
      </w:tr>
      <w:tr>
        <w:trPr/>
        <w:tc>
          <w:tcPr>
            <w:tcW w:w="37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left"/>
              <w:rPr/>
            </w:pPr>
            <w:r>
              <w:rPr/>
              <w:t>​</w:t>
            </w:r>
          </w:p>
        </w:tc>
      </w:tr>
      <w:tr>
        <w:trPr/>
        <w:tc>
          <w:tcPr>
            <w:tcW w:w="37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(loss) per basic and diluted share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.09</w:t>
            </w:r>
          </w:p>
        </w:tc>
      </w:tr>
      <w:tr>
        <w:trPr/>
        <w:tc>
          <w:tcPr>
            <w:tcW w:w="37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left"/>
              <w:rPr/>
            </w:pPr>
            <w:r>
              <w:rPr/>
              <w:t>​</w:t>
            </w:r>
          </w:p>
        </w:tc>
      </w:tr>
      <w:tr>
        <w:trPr/>
        <w:tc>
          <w:tcPr>
            <w:tcW w:w="37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shares used in the </w:t>
              <w:br/>
              <w:t>   calculation of net income (loss) per share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115.1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115.1</w:t>
            </w:r>
          </w:p>
        </w:tc>
      </w:tr>
      <w:tr>
        <w:trPr/>
        <w:tc>
          <w:tcPr>
            <w:tcW w:w="37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data - metric tons in thousands: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66" w:type="dxa"/>
            <w:tcBorders/>
            <w:shd w:fill="CCEEFF" w:val="clear"/>
            <w:vAlign w:val="center"/>
          </w:tcPr>
          <w:p>
            <w:pPr>
              <w:pStyle w:val="TableContents"/>
              <w:bidi w:val="0"/>
              <w:spacing w:lineRule="auto" w:line="285" w:before="0" w:after="0"/>
              <w:ind w:left="0" w:right="0" w:hanging="0"/>
              <w:jc w:val="right"/>
              <w:rPr/>
            </w:pPr>
            <w:r>
              <w:rPr/>
              <w:t>  ​</w:t>
            </w:r>
          </w:p>
        </w:tc>
      </w:tr>
      <w:tr>
        <w:trPr/>
        <w:tc>
          <w:tcPr>
            <w:tcW w:w="37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Sales volumes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153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295</w:t>
            </w:r>
          </w:p>
        </w:tc>
      </w:tr>
      <w:tr>
        <w:trPr/>
        <w:tc>
          <w:tcPr>
            <w:tcW w:w="37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Production volumes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135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66" w:type="dxa"/>
            <w:tcBorders/>
            <w:shd w:fill="CCEEFF" w:val="clear"/>
            <w:vAlign w:val="center"/>
          </w:tcPr>
          <w:p>
            <w:pPr>
              <w:pStyle w:val="TableContents"/>
              <w:bidi w:val="0"/>
              <w:spacing w:lineRule="auto" w:line="285" w:before="0" w:after="0"/>
              <w:ind w:left="0" w:right="70" w:hanging="0"/>
              <w:jc w:val="right"/>
              <w:rPr>
                <w:rFonts w:ascii="Times New Roman;Times;serif" w:hAnsi="Times New Roman;Times;serif"/>
                <w:b/>
                <w:sz w:val="20"/>
              </w:rPr>
            </w:pPr>
            <w:r>
              <w:rPr>
                <w:rFonts w:ascii="Times New Roman;Times;serif" w:hAnsi="Times New Roman;Times;serif"/>
                <w:b/>
                <w:sz w:val="20"/>
              </w:rPr>
              <w:t>263</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 of 5</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KRONOS WORLDWIDE, INC.</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RECONCILIATION OF INCOME FROM</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OPERATIONS TO SEGMENT PROFIT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 millions)</w:t>
      </w:r>
    </w:p>
    <w:p>
      <w:pPr>
        <w:pStyle w:val="TextBody"/>
        <w:bidi w:val="0"/>
        <w:spacing w:lineRule="auto" w:line="285" w:before="0" w:after="0"/>
        <w:ind w:left="0" w:right="0" w:hanging="0"/>
        <w:jc w:val="left"/>
        <w:rPr/>
      </w:pPr>
      <w:r>
        <w:rPr/>
        <w:t>​</w:t>
      </w:r>
    </w:p>
    <w:tbl>
      <w:tblPr>
        <w:tblW w:w="5913" w:type="dxa"/>
        <w:jc w:val="center"/>
        <w:tblInd w:w="0" w:type="dxa"/>
        <w:tblLayout w:type="fixed"/>
        <w:tblCellMar>
          <w:top w:w="0" w:type="dxa"/>
          <w:left w:w="0" w:type="dxa"/>
          <w:bottom w:w="0" w:type="dxa"/>
          <w:right w:w="0" w:type="dxa"/>
        </w:tblCellMar>
      </w:tblPr>
      <w:tblGrid>
        <w:gridCol w:w="2041"/>
        <w:gridCol w:w="109"/>
        <w:gridCol w:w="249"/>
        <w:gridCol w:w="551"/>
        <w:gridCol w:w="129"/>
        <w:gridCol w:w="129"/>
        <w:gridCol w:w="249"/>
        <w:gridCol w:w="551"/>
        <w:gridCol w:w="109"/>
        <w:gridCol w:w="109"/>
        <w:gridCol w:w="211"/>
        <w:gridCol w:w="466"/>
        <w:gridCol w:w="109"/>
        <w:gridCol w:w="109"/>
        <w:gridCol w:w="211"/>
        <w:gridCol w:w="581"/>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296035" cy="175260"/>
                      <wp:effectExtent l="0" t="0" r="0" b="0"/>
                      <wp:wrapNone/>
                      <wp:docPr id="29" name="Frame28"/>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9215" cy="175260"/>
                      <wp:effectExtent l="0" t="0" r="0" b="0"/>
                      <wp:wrapNone/>
                      <wp:docPr id="30" name="Frame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58115" cy="175260"/>
                      <wp:effectExtent l="0" t="0" r="0" b="0"/>
                      <wp:wrapNone/>
                      <wp:docPr id="31" name="Frame30"/>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349885" cy="175260"/>
                      <wp:effectExtent l="0" t="0" r="0" b="0"/>
                      <wp:wrapNone/>
                      <wp:docPr id="32" name="Frame31"/>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81915" cy="175260"/>
                      <wp:effectExtent l="0" t="0" r="0" b="0"/>
                      <wp:wrapNone/>
                      <wp:docPr id="33" name="Frame32"/>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81915" cy="175260"/>
                      <wp:effectExtent l="0" t="0" r="0" b="0"/>
                      <wp:wrapNone/>
                      <wp:docPr id="34" name="Frame33"/>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58115" cy="175260"/>
                      <wp:effectExtent l="0" t="0" r="0" b="0"/>
                      <wp:wrapNone/>
                      <wp:docPr id="35" name="Frame34"/>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49885" cy="175260"/>
                      <wp:effectExtent l="0" t="0" r="0" b="0"/>
                      <wp:wrapNone/>
                      <wp:docPr id="36" name="Frame35"/>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9215" cy="175260"/>
                      <wp:effectExtent l="0" t="0" r="0" b="0"/>
                      <wp:wrapNone/>
                      <wp:docPr id="37" name="Frame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38" name="Frame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39"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95910" cy="175260"/>
                      <wp:effectExtent l="0" t="0" r="0" b="0"/>
                      <wp:wrapNone/>
                      <wp:docPr id="40" name="Frame3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1" name="Frame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175260"/>
                      <wp:effectExtent l="0" t="0" r="0" b="0"/>
                      <wp:wrapNone/>
                      <wp:docPr id="42" name="Frame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3"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68935" cy="175260"/>
                      <wp:effectExtent l="0" t="0" r="0" b="0"/>
                      <wp:wrapNone/>
                      <wp:docPr id="44" name="Frame43"/>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858" w:type="dxa"/>
            <w:gridSpan w:val="6"/>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687" w:type="dxa"/>
            <w:gridSpan w:val="6"/>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r>
      <w:tr>
        <w:trPr/>
        <w:tc>
          <w:tcPr>
            <w:tcW w:w="20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858" w:type="dxa"/>
            <w:gridSpan w:val="6"/>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687" w:type="dxa"/>
            <w:gridSpan w:val="6"/>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r>
      <w:tr>
        <w:trPr/>
        <w:tc>
          <w:tcPr>
            <w:tcW w:w="20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8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29" w:type="dxa"/>
            <w:tcBorders/>
            <w:vAlign w:val="center"/>
          </w:tcPr>
          <w:p>
            <w:pPr>
              <w:pStyle w:val="TableContents"/>
              <w:bidi w:val="0"/>
              <w:spacing w:lineRule="auto" w:line="285" w:before="0" w:after="0"/>
              <w:ind w:left="0" w:right="0" w:hanging="0"/>
              <w:jc w:val="center"/>
              <w:rPr/>
            </w:pPr>
            <w:r>
              <w:rPr/>
              <w:t>​</w:t>
            </w:r>
          </w:p>
        </w:tc>
        <w:tc>
          <w:tcPr>
            <w:tcW w:w="129" w:type="dxa"/>
            <w:tcBorders/>
            <w:vAlign w:val="center"/>
          </w:tcPr>
          <w:p>
            <w:pPr>
              <w:pStyle w:val="TableContents"/>
              <w:bidi w:val="0"/>
              <w:spacing w:lineRule="auto" w:line="285" w:before="0" w:after="0"/>
              <w:ind w:left="0" w:right="0" w:hanging="0"/>
              <w:jc w:val="center"/>
              <w:rPr/>
            </w:pPr>
            <w:r>
              <w:rPr/>
              <w:t>​</w:t>
            </w:r>
          </w:p>
        </w:tc>
        <w:tc>
          <w:tcPr>
            <w:tcW w:w="8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7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7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913"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763" w:type="dxa"/>
            <w:gridSpan w:val="14"/>
            <w:tcBorders/>
            <w:vAlign w:val="center"/>
          </w:tcPr>
          <w:p>
            <w:pPr>
              <w:pStyle w:val="TableContents"/>
              <w:bidi w:val="0"/>
              <w:spacing w:lineRule="auto" w:line="285" w:before="0" w:after="0"/>
              <w:ind w:left="0" w:right="0" w:hanging="0"/>
              <w:jc w:val="center"/>
              <w:rPr/>
            </w:pPr>
            <w:r>
              <w:rPr/>
              <w:t>​</w:t>
            </w:r>
          </w:p>
        </w:tc>
      </w:tr>
      <w:tr>
        <w:trPr/>
        <w:tc>
          <w:tcPr>
            <w:tcW w:w="20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129" w:type="dxa"/>
            <w:tcBorders/>
            <w:shd w:fill="CCEEFF" w:val="clear"/>
            <w:vAlign w:val="center"/>
          </w:tcPr>
          <w:p>
            <w:pPr>
              <w:pStyle w:val="TableContents"/>
              <w:bidi w:val="0"/>
              <w:spacing w:lineRule="auto" w:line="285" w:before="0" w:after="0"/>
              <w:ind w:left="0" w:right="0" w:hanging="0"/>
              <w:jc w:val="left"/>
              <w:rPr/>
            </w:pPr>
            <w:r>
              <w:rPr/>
              <w:t>​</w:t>
            </w:r>
          </w:p>
        </w:tc>
        <w:tc>
          <w:tcPr>
            <w:tcW w:w="12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37.6</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45.8</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50.2</w:t>
            </w:r>
          </w:p>
        </w:tc>
      </w:tr>
      <w:tr>
        <w:trPr/>
        <w:tc>
          <w:tcPr>
            <w:tcW w:w="20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left"/>
              <w:rPr/>
            </w:pPr>
            <w:r>
              <w:rPr/>
              <w:t>​</w:t>
            </w:r>
          </w:p>
        </w:tc>
        <w:tc>
          <w:tcPr>
            <w:tcW w:w="551" w:type="dxa"/>
            <w:tcBorders/>
            <w:vAlign w:val="center"/>
          </w:tcPr>
          <w:p>
            <w:pPr>
              <w:pStyle w:val="TableContents"/>
              <w:bidi w:val="0"/>
              <w:spacing w:lineRule="auto" w:line="285" w:before="0" w:after="0"/>
              <w:ind w:left="0" w:right="0" w:hanging="0"/>
              <w:jc w:val="left"/>
              <w:rPr/>
            </w:pPr>
            <w:r>
              <w:rPr/>
              <w:t>​</w:t>
            </w:r>
          </w:p>
        </w:tc>
        <w:tc>
          <w:tcPr>
            <w:tcW w:w="129" w:type="dxa"/>
            <w:tcBorders/>
            <w:vAlign w:val="center"/>
          </w:tcPr>
          <w:p>
            <w:pPr>
              <w:pStyle w:val="TableContents"/>
              <w:bidi w:val="0"/>
              <w:spacing w:lineRule="auto" w:line="285" w:before="0" w:after="0"/>
              <w:ind w:left="0" w:right="0" w:hanging="0"/>
              <w:jc w:val="left"/>
              <w:rPr/>
            </w:pPr>
            <w:r>
              <w:rPr/>
              <w:t>​</w:t>
            </w:r>
          </w:p>
        </w:tc>
        <w:tc>
          <w:tcPr>
            <w:tcW w:w="12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left"/>
              <w:rPr/>
            </w:pPr>
            <w:r>
              <w:rPr/>
              <w:t>​</w:t>
            </w:r>
          </w:p>
        </w:tc>
        <w:tc>
          <w:tcPr>
            <w:tcW w:w="5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81" w:type="dxa"/>
            <w:tcBorders/>
            <w:vAlign w:val="center"/>
          </w:tcPr>
          <w:p>
            <w:pPr>
              <w:pStyle w:val="TableContents"/>
              <w:bidi w:val="0"/>
              <w:spacing w:lineRule="auto" w:line="285" w:before="0" w:after="0"/>
              <w:ind w:left="0" w:right="0" w:hanging="0"/>
              <w:jc w:val="left"/>
              <w:rPr/>
            </w:pPr>
            <w:r>
              <w:rPr/>
              <w:t>​</w:t>
            </w:r>
          </w:p>
        </w:tc>
      </w:tr>
      <w:tr>
        <w:trPr/>
        <w:tc>
          <w:tcPr>
            <w:tcW w:w="20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left"/>
              <w:rPr/>
            </w:pPr>
            <w:r>
              <w:rPr/>
              <w:t> </w:t>
            </w:r>
          </w:p>
        </w:tc>
        <w:tc>
          <w:tcPr>
            <w:tcW w:w="551" w:type="dxa"/>
            <w:tcBorders/>
            <w:shd w:fill="CCEEFF" w:val="clear"/>
            <w:vAlign w:val="center"/>
          </w:tcPr>
          <w:p>
            <w:pPr>
              <w:pStyle w:val="TableContents"/>
              <w:bidi w:val="0"/>
              <w:spacing w:lineRule="auto" w:line="285" w:before="0" w:after="0"/>
              <w:ind w:left="0" w:right="0" w:hanging="0"/>
              <w:jc w:val="right"/>
              <w:rPr/>
            </w:pPr>
            <w:r>
              <w:rPr/>
              <w:t>  ​</w:t>
            </w:r>
          </w:p>
        </w:tc>
        <w:tc>
          <w:tcPr>
            <w:tcW w:w="129" w:type="dxa"/>
            <w:tcBorders/>
            <w:shd w:fill="CCEEFF" w:val="clear"/>
            <w:vAlign w:val="center"/>
          </w:tcPr>
          <w:p>
            <w:pPr>
              <w:pStyle w:val="TableContents"/>
              <w:bidi w:val="0"/>
              <w:spacing w:lineRule="auto" w:line="285" w:before="0" w:after="0"/>
              <w:ind w:left="0" w:right="0" w:hanging="0"/>
              <w:jc w:val="left"/>
              <w:rPr/>
            </w:pPr>
            <w:r>
              <w:rPr/>
              <w:t>​</w:t>
            </w:r>
          </w:p>
        </w:tc>
        <w:tc>
          <w:tcPr>
            <w:tcW w:w="12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shd w:fill="CCEEFF" w:val="clear"/>
            <w:vAlign w:val="center"/>
          </w:tcPr>
          <w:p>
            <w:pPr>
              <w:pStyle w:val="TableContents"/>
              <w:bidi w:val="0"/>
              <w:spacing w:lineRule="auto" w:line="285" w:before="0" w:after="0"/>
              <w:ind w:left="0" w:right="0" w:hanging="0"/>
              <w:jc w:val="left"/>
              <w:rPr/>
            </w:pPr>
            <w:r>
              <w:rPr/>
              <w:t> </w:t>
            </w:r>
          </w:p>
        </w:tc>
        <w:tc>
          <w:tcPr>
            <w:tcW w:w="551" w:type="dxa"/>
            <w:tcBorders/>
            <w:shd w:fill="CCEEFF" w:val="clear"/>
            <w:vAlign w:val="center"/>
          </w:tcPr>
          <w:p>
            <w:pPr>
              <w:pStyle w:val="TableContents"/>
              <w:bidi w:val="0"/>
              <w:spacing w:lineRule="auto" w:line="285" w:before="0" w:after="0"/>
              <w:ind w:left="0" w:right="0" w:hanging="0"/>
              <w:jc w:val="right"/>
              <w:rPr/>
            </w:pPr>
            <w:r>
              <w:rPr/>
              <w:t>  ​</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466" w:type="dxa"/>
            <w:tcBorders/>
            <w:shd w:fill="CCEEFF" w:val="clear"/>
            <w:vAlign w:val="center"/>
          </w:tcPr>
          <w:p>
            <w:pPr>
              <w:pStyle w:val="TableContents"/>
              <w:bidi w:val="0"/>
              <w:spacing w:lineRule="auto" w:line="285" w:before="0" w:after="0"/>
              <w:ind w:left="0" w:right="0" w:hanging="0"/>
              <w:jc w:val="right"/>
              <w:rPr/>
            </w:pPr>
            <w:r>
              <w:rPr/>
              <w:t>  ​</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81" w:type="dxa"/>
            <w:tcBorders/>
            <w:shd w:fill="CCEEFF" w:val="clear"/>
            <w:vAlign w:val="center"/>
          </w:tcPr>
          <w:p>
            <w:pPr>
              <w:pStyle w:val="TableContents"/>
              <w:bidi w:val="0"/>
              <w:spacing w:lineRule="auto" w:line="285" w:before="0" w:after="0"/>
              <w:ind w:left="0" w:right="0" w:hanging="0"/>
              <w:jc w:val="right"/>
              <w:rPr/>
            </w:pPr>
            <w:r>
              <w:rPr/>
              <w:t>  ​</w:t>
            </w:r>
          </w:p>
        </w:tc>
      </w:tr>
      <w:tr>
        <w:trPr/>
        <w:tc>
          <w:tcPr>
            <w:tcW w:w="20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Trade interest income</w:t>
            </w:r>
          </w:p>
        </w:tc>
        <w:tc>
          <w:tcPr>
            <w:tcW w:w="10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left"/>
              <w:rPr/>
            </w:pPr>
            <w:r>
              <w:rPr/>
              <w:t> </w:t>
            </w:r>
          </w:p>
        </w:tc>
        <w:tc>
          <w:tcPr>
            <w:tcW w:w="55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29" w:type="dxa"/>
            <w:tcBorders/>
            <w:vAlign w:val="center"/>
          </w:tcPr>
          <w:p>
            <w:pPr>
              <w:pStyle w:val="TableContents"/>
              <w:bidi w:val="0"/>
              <w:spacing w:lineRule="auto" w:line="285" w:before="0" w:after="0"/>
              <w:ind w:left="0" w:right="0" w:hanging="0"/>
              <w:jc w:val="left"/>
              <w:rPr/>
            </w:pPr>
            <w:r>
              <w:rPr/>
              <w:t>​</w:t>
            </w:r>
          </w:p>
        </w:tc>
        <w:tc>
          <w:tcPr>
            <w:tcW w:w="12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left"/>
              <w:rPr/>
            </w:pPr>
            <w:r>
              <w:rPr/>
              <w:t> </w:t>
            </w:r>
          </w:p>
        </w:tc>
        <w:tc>
          <w:tcPr>
            <w:tcW w:w="551"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46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81"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.3</w:t>
            </w:r>
          </w:p>
        </w:tc>
      </w:tr>
      <w:tr>
        <w:trPr/>
        <w:tc>
          <w:tcPr>
            <w:tcW w:w="20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Corporate expense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129" w:type="dxa"/>
            <w:tcBorders/>
            <w:shd w:fill="CCEEFF" w:val="clear"/>
            <w:vAlign w:val="center"/>
          </w:tcPr>
          <w:p>
            <w:pPr>
              <w:pStyle w:val="TableContents"/>
              <w:bidi w:val="0"/>
              <w:spacing w:lineRule="auto" w:line="285" w:before="0" w:after="0"/>
              <w:ind w:left="0" w:right="0" w:hanging="0"/>
              <w:jc w:val="left"/>
              <w:rPr/>
            </w:pPr>
            <w:r>
              <w:rPr/>
              <w:t>​</w:t>
            </w:r>
          </w:p>
        </w:tc>
        <w:tc>
          <w:tcPr>
            <w:tcW w:w="12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3.2</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5.6</w:t>
            </w:r>
          </w:p>
        </w:tc>
      </w:tr>
      <w:tr>
        <w:trPr/>
        <w:tc>
          <w:tcPr>
            <w:tcW w:w="20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left"/>
              <w:rPr/>
            </w:pPr>
            <w:r>
              <w:rPr/>
              <w:t>​</w:t>
            </w:r>
          </w:p>
        </w:tc>
        <w:tc>
          <w:tcPr>
            <w:tcW w:w="551" w:type="dxa"/>
            <w:tcBorders/>
            <w:vAlign w:val="center"/>
          </w:tcPr>
          <w:p>
            <w:pPr>
              <w:pStyle w:val="TableContents"/>
              <w:bidi w:val="0"/>
              <w:spacing w:lineRule="auto" w:line="285" w:before="0" w:after="0"/>
              <w:ind w:left="0" w:right="0" w:hanging="0"/>
              <w:jc w:val="left"/>
              <w:rPr/>
            </w:pPr>
            <w:r>
              <w:rPr/>
              <w:t>​</w:t>
            </w:r>
          </w:p>
        </w:tc>
        <w:tc>
          <w:tcPr>
            <w:tcW w:w="129" w:type="dxa"/>
            <w:tcBorders/>
            <w:vAlign w:val="center"/>
          </w:tcPr>
          <w:p>
            <w:pPr>
              <w:pStyle w:val="TableContents"/>
              <w:bidi w:val="0"/>
              <w:spacing w:lineRule="auto" w:line="285" w:before="0" w:after="0"/>
              <w:ind w:left="0" w:right="0" w:hanging="0"/>
              <w:jc w:val="left"/>
              <w:rPr/>
            </w:pPr>
            <w:r>
              <w:rPr/>
              <w:t>​</w:t>
            </w:r>
          </w:p>
        </w:tc>
        <w:tc>
          <w:tcPr>
            <w:tcW w:w="129" w:type="dxa"/>
            <w:tcBorders/>
            <w:vAlign w:val="center"/>
          </w:tcPr>
          <w:p>
            <w:pPr>
              <w:pStyle w:val="TableContents"/>
              <w:bidi w:val="0"/>
              <w:spacing w:lineRule="auto" w:line="285" w:before="0" w:after="0"/>
              <w:ind w:left="0" w:right="0" w:hanging="0"/>
              <w:jc w:val="left"/>
              <w:rPr/>
            </w:pPr>
            <w:r>
              <w:rPr/>
              <w:t>​</w:t>
            </w:r>
          </w:p>
        </w:tc>
        <w:tc>
          <w:tcPr>
            <w:tcW w:w="249" w:type="dxa"/>
            <w:tcBorders/>
            <w:vAlign w:val="center"/>
          </w:tcPr>
          <w:p>
            <w:pPr>
              <w:pStyle w:val="TableContents"/>
              <w:bidi w:val="0"/>
              <w:spacing w:lineRule="auto" w:line="285" w:before="0" w:after="0"/>
              <w:ind w:left="0" w:right="0" w:hanging="0"/>
              <w:jc w:val="left"/>
              <w:rPr/>
            </w:pPr>
            <w:r>
              <w:rPr/>
              <w:t>​</w:t>
            </w:r>
          </w:p>
        </w:tc>
        <w:tc>
          <w:tcPr>
            <w:tcW w:w="55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46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81" w:type="dxa"/>
            <w:tcBorders/>
            <w:vAlign w:val="center"/>
          </w:tcPr>
          <w:p>
            <w:pPr>
              <w:pStyle w:val="TableContents"/>
              <w:bidi w:val="0"/>
              <w:spacing w:lineRule="auto" w:line="285" w:before="0" w:after="0"/>
              <w:ind w:left="0" w:right="0" w:hanging="0"/>
              <w:jc w:val="left"/>
              <w:rPr/>
            </w:pPr>
            <w:r>
              <w:rPr/>
              <w:t>​</w:t>
            </w:r>
          </w:p>
        </w:tc>
      </w:tr>
      <w:tr>
        <w:trPr/>
        <w:tc>
          <w:tcPr>
            <w:tcW w:w="20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Segment profit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129" w:type="dxa"/>
            <w:tcBorders/>
            <w:shd w:fill="CCEEFF" w:val="clear"/>
            <w:vAlign w:val="center"/>
          </w:tcPr>
          <w:p>
            <w:pPr>
              <w:pStyle w:val="TableContents"/>
              <w:bidi w:val="0"/>
              <w:spacing w:lineRule="auto" w:line="285" w:before="0" w:after="0"/>
              <w:ind w:left="0" w:right="0" w:hanging="0"/>
              <w:jc w:val="left"/>
              <w:rPr/>
            </w:pPr>
            <w:r>
              <w:rPr/>
              <w:t>​</w:t>
            </w:r>
          </w:p>
        </w:tc>
        <w:tc>
          <w:tcPr>
            <w:tcW w:w="129" w:type="dxa"/>
            <w:tcBorders/>
            <w:shd w:fill="CCEEFF" w:val="clear"/>
            <w:vAlign w:val="center"/>
          </w:tcPr>
          <w:p>
            <w:pPr>
              <w:pStyle w:val="TableContents"/>
              <w:bidi w:val="0"/>
              <w:spacing w:lineRule="auto" w:line="285"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5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41.0</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b/>
                <w:sz w:val="20"/>
              </w:rPr>
            </w:pPr>
            <w:r>
              <w:rPr>
                <w:rFonts w:ascii="Times New Roman;Times;serif" w:hAnsi="Times New Roman;Times;serif"/>
                <w:b/>
                <w:sz w:val="20"/>
              </w:rPr>
              <w:t>56.1</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RECONCILIATION OF NET INCOME (LOSS) TO EBITDA</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 millions)</w:t>
      </w:r>
    </w:p>
    <w:p>
      <w:pPr>
        <w:pStyle w:val="TextBody"/>
        <w:bidi w:val="0"/>
        <w:spacing w:lineRule="auto" w:line="285" w:before="0" w:after="0"/>
        <w:ind w:left="0" w:right="0" w:hanging="0"/>
        <w:jc w:val="center"/>
        <w:rPr/>
      </w:pPr>
      <w:r>
        <w:rPr/>
        <w:t>​</w:t>
      </w:r>
    </w:p>
    <w:tbl>
      <w:tblPr>
        <w:tblW w:w="5724" w:type="dxa"/>
        <w:jc w:val="center"/>
        <w:tblInd w:w="0" w:type="dxa"/>
        <w:tblLayout w:type="fixed"/>
        <w:tblCellMar>
          <w:top w:w="0" w:type="dxa"/>
          <w:left w:w="0" w:type="dxa"/>
          <w:bottom w:w="0" w:type="dxa"/>
          <w:right w:w="0" w:type="dxa"/>
        </w:tblCellMar>
      </w:tblPr>
      <w:tblGrid>
        <w:gridCol w:w="1876"/>
        <w:gridCol w:w="109"/>
        <w:gridCol w:w="265"/>
        <w:gridCol w:w="605"/>
        <w:gridCol w:w="137"/>
        <w:gridCol w:w="265"/>
        <w:gridCol w:w="586"/>
        <w:gridCol w:w="109"/>
        <w:gridCol w:w="109"/>
        <w:gridCol w:w="222"/>
        <w:gridCol w:w="491"/>
        <w:gridCol w:w="115"/>
        <w:gridCol w:w="222"/>
        <w:gridCol w:w="613"/>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191260" cy="175260"/>
                      <wp:effectExtent l="0" t="0" r="0" b="0"/>
                      <wp:wrapNone/>
                      <wp:docPr id="45" name="Frame44"/>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9215" cy="175260"/>
                      <wp:effectExtent l="0" t="0" r="0" b="0"/>
                      <wp:wrapNone/>
                      <wp:docPr id="46" name="Frame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68275" cy="175260"/>
                      <wp:effectExtent l="0" t="0" r="0" b="0"/>
                      <wp:wrapNone/>
                      <wp:docPr id="47" name="Frame46"/>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84175" cy="175260"/>
                      <wp:effectExtent l="0" t="0" r="0" b="0"/>
                      <wp:wrapNone/>
                      <wp:docPr id="48" name="Frame47"/>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86995" cy="175260"/>
                      <wp:effectExtent l="0" t="0" r="0" b="0"/>
                      <wp:wrapNone/>
                      <wp:docPr id="49" name="Frame48"/>
                      <a:graphic xmlns:a="http://schemas.openxmlformats.org/drawingml/2006/main">
                        <a:graphicData uri="http://schemas.microsoft.com/office/word/2010/wordprocessingShape">
                          <wps:wsp>
                            <wps:cNvSpPr txBox="1"/>
                            <wps:spPr>
                              <a:xfrm>
                                <a:off x="0" y="0"/>
                                <a:ext cx="869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68275" cy="175260"/>
                      <wp:effectExtent l="0" t="0" r="0" b="0"/>
                      <wp:wrapNone/>
                      <wp:docPr id="50" name="Frame49"/>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72110" cy="175260"/>
                      <wp:effectExtent l="0" t="0" r="0" b="0"/>
                      <wp:wrapNone/>
                      <wp:docPr id="51" name="Frame5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52" name="Frame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9215" cy="175260"/>
                      <wp:effectExtent l="0" t="0" r="0" b="0"/>
                      <wp:wrapNone/>
                      <wp:docPr id="53"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40970" cy="175260"/>
                      <wp:effectExtent l="0" t="0" r="0" b="0"/>
                      <wp:wrapNone/>
                      <wp:docPr id="54" name="Frame53"/>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311785" cy="175260"/>
                      <wp:effectExtent l="0" t="0" r="0" b="0"/>
                      <wp:wrapNone/>
                      <wp:docPr id="55" name="Frame54"/>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73025" cy="175260"/>
                      <wp:effectExtent l="0" t="0" r="0" b="0"/>
                      <wp:wrapNone/>
                      <wp:docPr id="56" name="Frame55"/>
                      <a:graphic xmlns:a="http://schemas.openxmlformats.org/drawingml/2006/main">
                        <a:graphicData uri="http://schemas.microsoft.com/office/word/2010/wordprocessingShape">
                          <wps:wsp>
                            <wps:cNvSpPr txBox="1"/>
                            <wps:spPr>
                              <a:xfrm>
                                <a:off x="0" y="0"/>
                                <a:ext cx="730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40970" cy="175260"/>
                      <wp:effectExtent l="0" t="0" r="0" b="0"/>
                      <wp:wrapNone/>
                      <wp:docPr id="57" name="Frame56"/>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89890" cy="175260"/>
                      <wp:effectExtent l="0" t="0" r="0" b="0"/>
                      <wp:wrapNone/>
                      <wp:docPr id="58" name="Frame57"/>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85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663"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Six months ended </w:t>
            </w:r>
          </w:p>
        </w:tc>
      </w:tr>
      <w:tr>
        <w:trPr/>
        <w:tc>
          <w:tcPr>
            <w:tcW w:w="187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85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66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r>
      <w:tr>
        <w:trPr/>
        <w:tc>
          <w:tcPr>
            <w:tcW w:w="187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87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37" w:type="dxa"/>
            <w:tcBorders/>
            <w:vAlign w:val="center"/>
          </w:tcPr>
          <w:p>
            <w:pPr>
              <w:pStyle w:val="TableContents"/>
              <w:bidi w:val="0"/>
              <w:spacing w:lineRule="auto" w:line="285" w:before="0" w:after="0"/>
              <w:ind w:left="0" w:right="0" w:hanging="0"/>
              <w:jc w:val="center"/>
              <w:rPr/>
            </w:pPr>
            <w:r>
              <w:rPr/>
              <w:t>​</w:t>
            </w:r>
          </w:p>
        </w:tc>
        <w:tc>
          <w:tcPr>
            <w:tcW w:w="85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71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15" w:type="dxa"/>
            <w:tcBorders/>
            <w:vAlign w:val="center"/>
          </w:tcPr>
          <w:p>
            <w:pPr>
              <w:pStyle w:val="TableContents"/>
              <w:bidi w:val="0"/>
              <w:spacing w:lineRule="auto" w:line="285" w:before="0" w:after="0"/>
              <w:ind w:left="0" w:right="0" w:hanging="0"/>
              <w:jc w:val="center"/>
              <w:rPr/>
            </w:pPr>
            <w:r>
              <w:rPr/>
              <w:t>​</w:t>
            </w:r>
          </w:p>
        </w:tc>
        <w:tc>
          <w:tcPr>
            <w:tcW w:w="83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r>
      <w:tr>
        <w:trPr/>
        <w:tc>
          <w:tcPr>
            <w:tcW w:w="5724"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187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739" w:type="dxa"/>
            <w:gridSpan w:val="12"/>
            <w:tcBorders/>
            <w:vAlign w:val="center"/>
          </w:tcPr>
          <w:p>
            <w:pPr>
              <w:pStyle w:val="TableContents"/>
              <w:bidi w:val="0"/>
              <w:spacing w:lineRule="auto" w:line="285" w:before="0" w:after="0"/>
              <w:ind w:left="0" w:right="0" w:hanging="0"/>
              <w:jc w:val="center"/>
              <w:rPr/>
            </w:pPr>
            <w:r>
              <w:rPr/>
              <w:t>​</w:t>
            </w:r>
          </w:p>
        </w:tc>
      </w:tr>
      <w:tr>
        <w:trPr/>
        <w:tc>
          <w:tcPr>
            <w:tcW w:w="18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137"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15.2</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115"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1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10.4</w:t>
            </w:r>
          </w:p>
        </w:tc>
      </w:tr>
      <w:tr>
        <w:trPr/>
        <w:tc>
          <w:tcPr>
            <w:tcW w:w="187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65" w:type="dxa"/>
            <w:tcBorders/>
            <w:vAlign w:val="center"/>
          </w:tcPr>
          <w:p>
            <w:pPr>
              <w:pStyle w:val="TableContents"/>
              <w:bidi w:val="0"/>
              <w:spacing w:lineRule="auto" w:line="285" w:before="0" w:after="0"/>
              <w:ind w:left="0" w:right="0" w:hanging="0"/>
              <w:jc w:val="left"/>
              <w:rPr/>
            </w:pPr>
            <w:r>
              <w:rPr/>
              <w:t>​</w:t>
            </w:r>
          </w:p>
        </w:tc>
        <w:tc>
          <w:tcPr>
            <w:tcW w:w="605" w:type="dxa"/>
            <w:tcBorders/>
            <w:vAlign w:val="center"/>
          </w:tcPr>
          <w:p>
            <w:pPr>
              <w:pStyle w:val="TableContents"/>
              <w:bidi w:val="0"/>
              <w:spacing w:lineRule="auto" w:line="285" w:before="0" w:after="0"/>
              <w:ind w:left="0" w:right="0" w:hanging="0"/>
              <w:jc w:val="left"/>
              <w:rPr/>
            </w:pPr>
            <w:r>
              <w:rPr/>
              <w:t>​</w:t>
            </w:r>
          </w:p>
        </w:tc>
        <w:tc>
          <w:tcPr>
            <w:tcW w:w="137" w:type="dxa"/>
            <w:tcBorders/>
            <w:vAlign w:val="center"/>
          </w:tcPr>
          <w:p>
            <w:pPr>
              <w:pStyle w:val="TableContents"/>
              <w:bidi w:val="0"/>
              <w:spacing w:lineRule="auto" w:line="285" w:before="0" w:after="0"/>
              <w:ind w:left="0" w:right="0" w:hanging="0"/>
              <w:jc w:val="left"/>
              <w:rPr/>
            </w:pPr>
            <w:r>
              <w:rPr/>
              <w:t>​</w:t>
            </w:r>
          </w:p>
        </w:tc>
        <w:tc>
          <w:tcPr>
            <w:tcW w:w="265"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491" w:type="dxa"/>
            <w:tcBorders/>
            <w:vAlign w:val="center"/>
          </w:tcPr>
          <w:p>
            <w:pPr>
              <w:pStyle w:val="TableContents"/>
              <w:bidi w:val="0"/>
              <w:spacing w:lineRule="auto" w:line="285" w:before="0" w:after="0"/>
              <w:ind w:left="0" w:right="0" w:hanging="0"/>
              <w:jc w:val="left"/>
              <w:rPr/>
            </w:pPr>
            <w:r>
              <w:rPr/>
              <w:t>​</w:t>
            </w:r>
          </w:p>
        </w:tc>
        <w:tc>
          <w:tcPr>
            <w:tcW w:w="115"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w:t>
            </w:r>
          </w:p>
        </w:tc>
        <w:tc>
          <w:tcPr>
            <w:tcW w:w="613" w:type="dxa"/>
            <w:tcBorders/>
            <w:vAlign w:val="center"/>
          </w:tcPr>
          <w:p>
            <w:pPr>
              <w:pStyle w:val="TableContents"/>
              <w:bidi w:val="0"/>
              <w:spacing w:lineRule="auto" w:line="285" w:before="0" w:after="0"/>
              <w:ind w:left="0" w:right="0" w:hanging="0"/>
              <w:jc w:val="left"/>
              <w:rPr/>
            </w:pPr>
            <w:r>
              <w:rPr/>
              <w:t>​</w:t>
            </w:r>
          </w:p>
        </w:tc>
      </w:tr>
      <w:tr>
        <w:trPr/>
        <w:tc>
          <w:tcPr>
            <w:tcW w:w="18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pPr>
            <w:r>
              <w:rPr/>
              <w:t> </w:t>
            </w:r>
          </w:p>
        </w:tc>
        <w:tc>
          <w:tcPr>
            <w:tcW w:w="605" w:type="dxa"/>
            <w:tcBorders/>
            <w:shd w:fill="CCEEFF" w:val="clear"/>
            <w:vAlign w:val="center"/>
          </w:tcPr>
          <w:p>
            <w:pPr>
              <w:pStyle w:val="TableContents"/>
              <w:bidi w:val="0"/>
              <w:spacing w:lineRule="auto" w:line="285" w:before="0" w:after="0"/>
              <w:ind w:left="0" w:right="0" w:hanging="0"/>
              <w:jc w:val="right"/>
              <w:rPr/>
            </w:pPr>
            <w:r>
              <w:rPr/>
              <w:t>  ​</w:t>
            </w:r>
          </w:p>
        </w:tc>
        <w:tc>
          <w:tcPr>
            <w:tcW w:w="137"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pPr>
            <w:r>
              <w:rPr/>
              <w:t>  ​</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 </w:t>
            </w:r>
          </w:p>
        </w:tc>
        <w:tc>
          <w:tcPr>
            <w:tcW w:w="491" w:type="dxa"/>
            <w:tcBorders/>
            <w:shd w:fill="CCEEFF" w:val="clear"/>
            <w:vAlign w:val="center"/>
          </w:tcPr>
          <w:p>
            <w:pPr>
              <w:pStyle w:val="TableContents"/>
              <w:bidi w:val="0"/>
              <w:spacing w:lineRule="auto" w:line="285" w:before="0" w:after="0"/>
              <w:ind w:left="0" w:right="0" w:hanging="0"/>
              <w:jc w:val="right"/>
              <w:rPr/>
            </w:pPr>
            <w:r>
              <w:rPr/>
              <w:t>  ​</w:t>
            </w:r>
          </w:p>
        </w:tc>
        <w:tc>
          <w:tcPr>
            <w:tcW w:w="115"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 </w:t>
            </w:r>
          </w:p>
        </w:tc>
        <w:tc>
          <w:tcPr>
            <w:tcW w:w="613" w:type="dxa"/>
            <w:tcBorders/>
            <w:shd w:fill="CCEEFF" w:val="clear"/>
            <w:vAlign w:val="center"/>
          </w:tcPr>
          <w:p>
            <w:pPr>
              <w:pStyle w:val="TableContents"/>
              <w:bidi w:val="0"/>
              <w:spacing w:lineRule="auto" w:line="285" w:before="0" w:after="0"/>
              <w:ind w:left="0" w:right="0" w:hanging="0"/>
              <w:jc w:val="right"/>
              <w:rPr/>
            </w:pPr>
            <w:r>
              <w:rPr/>
              <w:t>  ​</w:t>
            </w:r>
          </w:p>
        </w:tc>
      </w:tr>
      <w:tr>
        <w:trPr/>
        <w:tc>
          <w:tcPr>
            <w:tcW w:w="18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109" w:type="dxa"/>
            <w:tcBorders/>
            <w:vAlign w:val="center"/>
          </w:tcPr>
          <w:p>
            <w:pPr>
              <w:pStyle w:val="TableContents"/>
              <w:bidi w:val="0"/>
              <w:spacing w:lineRule="auto" w:line="285" w:before="0" w:after="0"/>
              <w:ind w:left="0" w:right="0" w:hanging="0"/>
              <w:jc w:val="left"/>
              <w:rPr/>
            </w:pPr>
            <w:r>
              <w:rPr/>
              <w:t>​</w:t>
            </w:r>
          </w:p>
        </w:tc>
        <w:tc>
          <w:tcPr>
            <w:tcW w:w="265" w:type="dxa"/>
            <w:tcBorders/>
            <w:vAlign w:val="center"/>
          </w:tcPr>
          <w:p>
            <w:pPr>
              <w:pStyle w:val="TableContents"/>
              <w:bidi w:val="0"/>
              <w:spacing w:lineRule="auto" w:line="285" w:before="0" w:after="0"/>
              <w:ind w:left="0" w:right="0" w:hanging="0"/>
              <w:jc w:val="left"/>
              <w:rPr/>
            </w:pPr>
            <w:r>
              <w:rPr/>
              <w:t> </w:t>
            </w:r>
          </w:p>
        </w:tc>
        <w:tc>
          <w:tcPr>
            <w:tcW w:w="60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137" w:type="dxa"/>
            <w:tcBorders/>
            <w:vAlign w:val="center"/>
          </w:tcPr>
          <w:p>
            <w:pPr>
              <w:pStyle w:val="TableContents"/>
              <w:bidi w:val="0"/>
              <w:spacing w:lineRule="auto" w:line="285" w:before="0" w:after="0"/>
              <w:ind w:left="0" w:right="0" w:hanging="0"/>
              <w:jc w:val="left"/>
              <w:rPr/>
            </w:pPr>
            <w:r>
              <w:rPr/>
              <w:t>​</w:t>
            </w:r>
          </w:p>
        </w:tc>
        <w:tc>
          <w:tcPr>
            <w:tcW w:w="265"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15.8</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 </w:t>
            </w:r>
          </w:p>
        </w:tc>
        <w:tc>
          <w:tcPr>
            <w:tcW w:w="4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115" w:type="dxa"/>
            <w:tcBorders/>
            <w:vAlign w:val="center"/>
          </w:tcPr>
          <w:p>
            <w:pPr>
              <w:pStyle w:val="TableContents"/>
              <w:bidi w:val="0"/>
              <w:spacing w:lineRule="auto" w:line="285" w:before="0" w:after="0"/>
              <w:ind w:left="0" w:right="0" w:hanging="0"/>
              <w:jc w:val="left"/>
              <w:rPr/>
            </w:pPr>
            <w:r>
              <w:rPr/>
              <w:t>​</w:t>
            </w:r>
          </w:p>
        </w:tc>
        <w:tc>
          <w:tcPr>
            <w:tcW w:w="222" w:type="dxa"/>
            <w:tcBorders/>
            <w:vAlign w:val="center"/>
          </w:tcPr>
          <w:p>
            <w:pPr>
              <w:pStyle w:val="TableContents"/>
              <w:bidi w:val="0"/>
              <w:spacing w:lineRule="auto" w:line="285" w:before="0" w:after="0"/>
              <w:ind w:left="0" w:right="0" w:hanging="0"/>
              <w:jc w:val="left"/>
              <w:rPr/>
            </w:pPr>
            <w:r>
              <w:rPr/>
              <w:t> </w:t>
            </w:r>
          </w:p>
        </w:tc>
        <w:tc>
          <w:tcPr>
            <w:tcW w:w="613"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31.2</w:t>
            </w:r>
          </w:p>
        </w:tc>
      </w:tr>
      <w:tr>
        <w:trPr/>
        <w:tc>
          <w:tcPr>
            <w:tcW w:w="18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pPr>
            <w:r>
              <w:rPr/>
              <w:t> </w:t>
            </w:r>
          </w:p>
        </w:tc>
        <w:tc>
          <w:tcPr>
            <w:tcW w:w="60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137"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pPr>
            <w:r>
              <w:rPr/>
              <w:t> </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14.2</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 </w:t>
            </w:r>
          </w:p>
        </w:tc>
        <w:tc>
          <w:tcPr>
            <w:tcW w:w="4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115"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 </w:t>
            </w:r>
          </w:p>
        </w:tc>
        <w:tc>
          <w:tcPr>
            <w:tcW w:w="61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28.5</w:t>
            </w:r>
          </w:p>
        </w:tc>
      </w:tr>
      <w:tr>
        <w:trPr/>
        <w:tc>
          <w:tcPr>
            <w:tcW w:w="18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109" w:type="dxa"/>
            <w:tcBorders/>
            <w:vAlign w:val="center"/>
          </w:tcPr>
          <w:p>
            <w:pPr>
              <w:pStyle w:val="TableContents"/>
              <w:bidi w:val="0"/>
              <w:spacing w:lineRule="auto" w:line="285"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0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137" w:type="dxa"/>
            <w:tcBorders/>
            <w:vAlign w:val="center"/>
          </w:tcPr>
          <w:p>
            <w:pPr>
              <w:pStyle w:val="TableContents"/>
              <w:bidi w:val="0"/>
              <w:spacing w:lineRule="auto" w:line="285"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7.7</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4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115" w:type="dxa"/>
            <w:tcBorders/>
            <w:vAlign w:val="center"/>
          </w:tcPr>
          <w:p>
            <w:pPr>
              <w:pStyle w:val="TableContents"/>
              <w:bidi w:val="0"/>
              <w:spacing w:lineRule="auto" w:line="285"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1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10.5</w:t>
            </w:r>
          </w:p>
        </w:tc>
      </w:tr>
      <w:tr>
        <w:trPr/>
        <w:tc>
          <w:tcPr>
            <w:tcW w:w="187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pPr>
            <w:r>
              <w:rPr/>
              <w:t>​</w:t>
            </w:r>
          </w:p>
        </w:tc>
        <w:tc>
          <w:tcPr>
            <w:tcW w:w="605" w:type="dxa"/>
            <w:tcBorders/>
            <w:shd w:fill="CCEEFF" w:val="clear"/>
            <w:vAlign w:val="center"/>
          </w:tcPr>
          <w:p>
            <w:pPr>
              <w:pStyle w:val="TableContents"/>
              <w:bidi w:val="0"/>
              <w:spacing w:lineRule="auto" w:line="285" w:before="0" w:after="0"/>
              <w:ind w:left="0" w:right="0" w:hanging="0"/>
              <w:jc w:val="left"/>
              <w:rPr/>
            </w:pPr>
            <w:r>
              <w:rPr/>
              <w:t>​</w:t>
            </w:r>
          </w:p>
        </w:tc>
        <w:tc>
          <w:tcPr>
            <w:tcW w:w="137"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pPr>
            <w:r>
              <w:rPr/>
              <w:t>​</w:t>
            </w:r>
          </w:p>
        </w:tc>
        <w:tc>
          <w:tcPr>
            <w:tcW w:w="58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491" w:type="dxa"/>
            <w:tcBorders/>
            <w:shd w:fill="CCEEFF" w:val="clear"/>
            <w:vAlign w:val="center"/>
          </w:tcPr>
          <w:p>
            <w:pPr>
              <w:pStyle w:val="TableContents"/>
              <w:bidi w:val="0"/>
              <w:spacing w:lineRule="auto" w:line="285" w:before="0" w:after="0"/>
              <w:ind w:left="0" w:right="0" w:hanging="0"/>
              <w:jc w:val="left"/>
              <w:rPr/>
            </w:pPr>
            <w:r>
              <w:rPr/>
              <w:t>​</w:t>
            </w:r>
          </w:p>
        </w:tc>
        <w:tc>
          <w:tcPr>
            <w:tcW w:w="115" w:type="dxa"/>
            <w:tcBorders/>
            <w:shd w:fill="CCEEFF" w:val="clear"/>
            <w:vAlign w:val="center"/>
          </w:tcPr>
          <w:p>
            <w:pPr>
              <w:pStyle w:val="TableContents"/>
              <w:bidi w:val="0"/>
              <w:spacing w:lineRule="auto" w:line="285" w:before="0" w:after="0"/>
              <w:ind w:left="0" w:right="0" w:hanging="0"/>
              <w:jc w:val="left"/>
              <w:rPr/>
            </w:pPr>
            <w:r>
              <w:rPr/>
              <w:t>​</w:t>
            </w:r>
          </w:p>
        </w:tc>
        <w:tc>
          <w:tcPr>
            <w:tcW w:w="222" w:type="dxa"/>
            <w:tcBorders/>
            <w:shd w:fill="CCEEFF" w:val="clear"/>
            <w:vAlign w:val="center"/>
          </w:tcPr>
          <w:p>
            <w:pPr>
              <w:pStyle w:val="TableContents"/>
              <w:bidi w:val="0"/>
              <w:spacing w:lineRule="auto" w:line="285" w:before="0" w:after="0"/>
              <w:ind w:left="0" w:right="0" w:hanging="0"/>
              <w:jc w:val="left"/>
              <w:rPr/>
            </w:pPr>
            <w:r>
              <w:rPr/>
              <w:t>​</w:t>
            </w:r>
          </w:p>
        </w:tc>
        <w:tc>
          <w:tcPr>
            <w:tcW w:w="613" w:type="dxa"/>
            <w:tcBorders/>
            <w:shd w:fill="CCEEFF" w:val="clear"/>
            <w:vAlign w:val="center"/>
          </w:tcPr>
          <w:p>
            <w:pPr>
              <w:pStyle w:val="TableContents"/>
              <w:bidi w:val="0"/>
              <w:spacing w:lineRule="auto" w:line="285" w:before="0" w:after="0"/>
              <w:ind w:left="0" w:right="0" w:hanging="0"/>
              <w:jc w:val="left"/>
              <w:rPr/>
            </w:pPr>
            <w:r>
              <w:rPr/>
              <w:t>​</w:t>
            </w:r>
          </w:p>
        </w:tc>
      </w:tr>
      <w:tr>
        <w:trPr/>
        <w:tc>
          <w:tcPr>
            <w:tcW w:w="18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EBITDA</w:t>
            </w:r>
          </w:p>
        </w:tc>
        <w:tc>
          <w:tcPr>
            <w:tcW w:w="109" w:type="dxa"/>
            <w:tcBorders/>
            <w:vAlign w:val="center"/>
          </w:tcPr>
          <w:p>
            <w:pPr>
              <w:pStyle w:val="TableContents"/>
              <w:bidi w:val="0"/>
              <w:spacing w:lineRule="auto" w:line="285"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137" w:type="dxa"/>
            <w:tcBorders/>
            <w:vAlign w:val="center"/>
          </w:tcPr>
          <w:p>
            <w:pPr>
              <w:pStyle w:val="TableContents"/>
              <w:bidi w:val="0"/>
              <w:spacing w:lineRule="auto" w:line="285"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8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52.9</w:t>
            </w:r>
          </w:p>
        </w:tc>
        <w:tc>
          <w:tcPr>
            <w:tcW w:w="109"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73.4</w:t>
            </w:r>
          </w:p>
        </w:tc>
        <w:tc>
          <w:tcPr>
            <w:tcW w:w="115" w:type="dxa"/>
            <w:tcBorders/>
            <w:vAlign w:val="center"/>
          </w:tcPr>
          <w:p>
            <w:pPr>
              <w:pStyle w:val="TableContents"/>
              <w:bidi w:val="0"/>
              <w:spacing w:lineRule="auto" w:line="285"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13" w:type="dxa"/>
            <w:tcBorders>
              <w:bottom w:val="double" w:sz="6" w:space="0" w:color="000000"/>
            </w:tcBorders>
            <w:tcMar>
              <w:bottom w:w="28" w:type="dxa"/>
            </w:tcMar>
            <w:vAlign w:val="center"/>
          </w:tcPr>
          <w:p>
            <w:pPr>
              <w:pStyle w:val="TableContents"/>
              <w:bidi w:val="0"/>
              <w:spacing w:lineRule="auto" w:line="285" w:before="0" w:after="0"/>
              <w:ind w:left="0" w:right="70" w:hanging="0"/>
              <w:jc w:val="right"/>
              <w:rPr>
                <w:rFonts w:ascii="Times New Roman;Times;serif" w:hAnsi="Times New Roman;Times;serif"/>
                <w:b/>
                <w:sz w:val="20"/>
              </w:rPr>
            </w:pPr>
            <w:r>
              <w:rPr>
                <w:rFonts w:ascii="Times New Roman;Times;serif" w:hAnsi="Times New Roman;Times;serif"/>
                <w:b/>
                <w:sz w:val="20"/>
              </w:rPr>
              <w:t>80.6</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IMPACT OF PERCENTAGE CHANGE IN NET SALES</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285" w:before="0" w:after="0"/>
        <w:ind w:left="0" w:right="0" w:hanging="0"/>
        <w:jc w:val="left"/>
        <w:rPr/>
      </w:pPr>
      <w:r>
        <w:rPr/>
        <w:t>​</w:t>
      </w:r>
    </w:p>
    <w:tbl>
      <w:tblPr>
        <w:tblW w:w="7401" w:type="dxa"/>
        <w:jc w:val="center"/>
        <w:tblInd w:w="0" w:type="dxa"/>
        <w:tblLayout w:type="fixed"/>
        <w:tblCellMar>
          <w:top w:w="0" w:type="dxa"/>
          <w:left w:w="0" w:type="dxa"/>
          <w:bottom w:w="0" w:type="dxa"/>
          <w:right w:w="0" w:type="dxa"/>
        </w:tblCellMar>
      </w:tblPr>
      <w:tblGrid>
        <w:gridCol w:w="3031"/>
        <w:gridCol w:w="346"/>
        <w:gridCol w:w="1861"/>
        <w:gridCol w:w="271"/>
        <w:gridCol w:w="1576"/>
        <w:gridCol w:w="316"/>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924685" cy="175260"/>
                      <wp:effectExtent l="0" t="0" r="0" b="0"/>
                      <wp:wrapNone/>
                      <wp:docPr id="59" name="Frame58"/>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0"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181735" cy="175260"/>
                      <wp:effectExtent l="0" t="0" r="0" b="0"/>
                      <wp:wrapNone/>
                      <wp:docPr id="61" name="Frame60"/>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72085" cy="175260"/>
                      <wp:effectExtent l="0" t="0" r="0" b="0"/>
                      <wp:wrapNone/>
                      <wp:docPr id="62" name="Frame6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000760" cy="175260"/>
                      <wp:effectExtent l="0" t="0" r="0" b="0"/>
                      <wp:wrapNone/>
                      <wp:docPr id="63" name="Frame62"/>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0660" cy="175260"/>
                      <wp:effectExtent l="0" t="0" r="0" b="0"/>
                      <wp:wrapNone/>
                      <wp:docPr id="64" name="Frame6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86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271" w:type="dxa"/>
            <w:tcBorders/>
            <w:vAlign w:val="center"/>
          </w:tcPr>
          <w:p>
            <w:pPr>
              <w:pStyle w:val="TableContents"/>
              <w:bidi w:val="0"/>
              <w:spacing w:lineRule="auto" w:line="285" w:before="0" w:after="0"/>
              <w:ind w:left="0" w:right="0" w:hanging="0"/>
              <w:jc w:val="center"/>
              <w:rPr/>
            </w:pPr>
            <w:r>
              <w:rPr/>
              <w:t> </w:t>
            </w:r>
          </w:p>
        </w:tc>
        <w:tc>
          <w:tcPr>
            <w:tcW w:w="157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Six months ended</w:t>
            </w:r>
          </w:p>
        </w:tc>
        <w:tc>
          <w:tcPr>
            <w:tcW w:w="316" w:type="dxa"/>
            <w:tcBorders/>
            <w:vAlign w:val="center"/>
          </w:tcPr>
          <w:p>
            <w:pPr>
              <w:pStyle w:val="TableContents"/>
              <w:bidi w:val="0"/>
              <w:spacing w:lineRule="auto" w:line="285" w:before="0" w:after="0"/>
              <w:ind w:left="0" w:right="0" w:hanging="0"/>
              <w:jc w:val="center"/>
              <w:rPr/>
            </w:pPr>
            <w:r>
              <w:rPr/>
              <w:t> </w:t>
            </w:r>
          </w:p>
        </w:tc>
      </w:tr>
      <w:tr>
        <w:trPr/>
        <w:tc>
          <w:tcPr>
            <w:tcW w:w="30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86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c>
          <w:tcPr>
            <w:tcW w:w="271" w:type="dxa"/>
            <w:tcBorders/>
            <w:vAlign w:val="center"/>
          </w:tcPr>
          <w:p>
            <w:pPr>
              <w:pStyle w:val="TableContents"/>
              <w:bidi w:val="0"/>
              <w:spacing w:lineRule="auto" w:line="285" w:before="0" w:after="0"/>
              <w:ind w:left="0" w:right="0" w:hanging="0"/>
              <w:jc w:val="center"/>
              <w:rPr/>
            </w:pPr>
            <w:r>
              <w:rPr/>
              <w:t> </w:t>
            </w:r>
          </w:p>
        </w:tc>
        <w:tc>
          <w:tcPr>
            <w:tcW w:w="157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June 30,</w:t>
            </w:r>
          </w:p>
        </w:tc>
        <w:tc>
          <w:tcPr>
            <w:tcW w:w="316" w:type="dxa"/>
            <w:tcBorders/>
            <w:vAlign w:val="center"/>
          </w:tcPr>
          <w:p>
            <w:pPr>
              <w:pStyle w:val="TableContents"/>
              <w:bidi w:val="0"/>
              <w:spacing w:lineRule="auto" w:line="285" w:before="0" w:after="0"/>
              <w:ind w:left="0" w:right="0" w:hanging="0"/>
              <w:jc w:val="center"/>
              <w:rPr/>
            </w:pPr>
            <w:r>
              <w:rPr/>
              <w:t> </w:t>
            </w:r>
          </w:p>
        </w:tc>
      </w:tr>
      <w:tr>
        <w:trPr/>
        <w:tc>
          <w:tcPr>
            <w:tcW w:w="30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86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2026 vs. 2025</w:t>
            </w:r>
          </w:p>
        </w:tc>
        <w:tc>
          <w:tcPr>
            <w:tcW w:w="271" w:type="dxa"/>
            <w:tcBorders/>
            <w:vAlign w:val="center"/>
          </w:tcPr>
          <w:p>
            <w:pPr>
              <w:pStyle w:val="TableContents"/>
              <w:bidi w:val="0"/>
              <w:spacing w:lineRule="auto" w:line="285" w:before="0" w:after="0"/>
              <w:ind w:left="0" w:right="0" w:hanging="0"/>
              <w:jc w:val="center"/>
              <w:rPr/>
            </w:pPr>
            <w:r>
              <w:rPr/>
              <w:t> </w:t>
            </w:r>
          </w:p>
        </w:tc>
        <w:tc>
          <w:tcPr>
            <w:tcW w:w="15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2026 vs. 2025</w:t>
            </w:r>
          </w:p>
        </w:tc>
        <w:tc>
          <w:tcPr>
            <w:tcW w:w="316" w:type="dxa"/>
            <w:tcBorders/>
            <w:vAlign w:val="center"/>
          </w:tcPr>
          <w:p>
            <w:pPr>
              <w:pStyle w:val="TableContents"/>
              <w:bidi w:val="0"/>
              <w:spacing w:lineRule="auto" w:line="285" w:before="0" w:after="0"/>
              <w:ind w:left="0" w:right="0" w:hanging="0"/>
              <w:jc w:val="center"/>
              <w:rPr/>
            </w:pPr>
            <w:r>
              <w:rPr/>
              <w:t> </w:t>
            </w:r>
          </w:p>
        </w:tc>
      </w:tr>
      <w:tr>
        <w:trPr/>
        <w:tc>
          <w:tcPr>
            <w:tcW w:w="30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61" w:type="dxa"/>
            <w:tcBorders/>
            <w:vAlign w:val="center"/>
          </w:tcPr>
          <w:p>
            <w:pPr>
              <w:pStyle w:val="TableContents"/>
              <w:bidi w:val="0"/>
              <w:spacing w:lineRule="auto" w:line="285" w:before="0" w:after="0"/>
              <w:ind w:left="0" w:right="0" w:hanging="0"/>
              <w:jc w:val="center"/>
              <w:rPr/>
            </w:pPr>
            <w:r>
              <w:rPr/>
              <w:t>​</w:t>
            </w:r>
          </w:p>
        </w:tc>
        <w:tc>
          <w:tcPr>
            <w:tcW w:w="271" w:type="dxa"/>
            <w:tcBorders/>
            <w:vAlign w:val="center"/>
          </w:tcPr>
          <w:p>
            <w:pPr>
              <w:pStyle w:val="TableContents"/>
              <w:bidi w:val="0"/>
              <w:spacing w:lineRule="auto" w:line="285" w:before="0" w:after="0"/>
              <w:ind w:left="0" w:right="0" w:hanging="0"/>
              <w:jc w:val="center"/>
              <w:rPr/>
            </w:pPr>
            <w:r>
              <w:rPr/>
              <w:t>​</w:t>
            </w:r>
          </w:p>
        </w:tc>
        <w:tc>
          <w:tcPr>
            <w:tcW w:w="1576" w:type="dxa"/>
            <w:tcBorders/>
            <w:vAlign w:val="center"/>
          </w:tcPr>
          <w:p>
            <w:pPr>
              <w:pStyle w:val="TableContents"/>
              <w:bidi w:val="0"/>
              <w:spacing w:lineRule="auto" w:line="285" w:before="0" w:after="0"/>
              <w:ind w:left="0" w:right="0" w:hanging="0"/>
              <w:jc w:val="left"/>
              <w:rPr/>
            </w:pPr>
            <w:r>
              <w:rPr/>
              <w:t>​</w:t>
            </w:r>
          </w:p>
        </w:tc>
        <w:tc>
          <w:tcPr>
            <w:tcW w:w="316" w:type="dxa"/>
            <w:tcBorders/>
            <w:vAlign w:val="center"/>
          </w:tcPr>
          <w:p>
            <w:pPr>
              <w:pStyle w:val="TableContents"/>
              <w:bidi w:val="0"/>
              <w:spacing w:lineRule="auto" w:line="285" w:before="0" w:after="0"/>
              <w:ind w:left="0" w:right="0" w:hanging="0"/>
              <w:jc w:val="center"/>
              <w:rPr/>
            </w:pPr>
            <w:r>
              <w:rPr/>
              <w:t>​</w:t>
            </w:r>
          </w:p>
        </w:tc>
      </w:tr>
      <w:tr>
        <w:trPr/>
        <w:tc>
          <w:tcPr>
            <w:tcW w:w="30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Percentage change in net sales: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861" w:type="dxa"/>
            <w:tcBorders/>
            <w:shd w:fill="CCEEFF" w:val="clear"/>
            <w:vAlign w:val="center"/>
          </w:tcPr>
          <w:p>
            <w:pPr>
              <w:pStyle w:val="TableContents"/>
              <w:bidi w:val="0"/>
              <w:spacing w:lineRule="auto" w:line="285" w:before="0" w:after="0"/>
              <w:ind w:left="0" w:right="0" w:hanging="0"/>
              <w:jc w:val="right"/>
              <w:rPr/>
            </w:pPr>
            <w:r>
              <w:rPr/>
              <w:t>  ​</w:t>
            </w:r>
          </w:p>
        </w:tc>
        <w:tc>
          <w:tcPr>
            <w:tcW w:w="271" w:type="dxa"/>
            <w:tcBorders/>
            <w:shd w:fill="CCEEFF" w:val="clear"/>
            <w:vAlign w:val="center"/>
          </w:tcPr>
          <w:p>
            <w:pPr>
              <w:pStyle w:val="TableContents"/>
              <w:bidi w:val="0"/>
              <w:spacing w:lineRule="auto" w:line="285" w:before="0" w:after="0"/>
              <w:ind w:left="0" w:right="0" w:hanging="0"/>
              <w:jc w:val="center"/>
              <w:rPr/>
            </w:pPr>
            <w:r>
              <w:rPr/>
              <w:t>​</w:t>
            </w:r>
          </w:p>
        </w:tc>
        <w:tc>
          <w:tcPr>
            <w:tcW w:w="1576" w:type="dxa"/>
            <w:tcBorders/>
            <w:shd w:fill="CCEEFF" w:val="clear"/>
            <w:vAlign w:val="center"/>
          </w:tcPr>
          <w:p>
            <w:pPr>
              <w:pStyle w:val="TableContents"/>
              <w:bidi w:val="0"/>
              <w:spacing w:lineRule="auto" w:line="285" w:before="0" w:after="0"/>
              <w:ind w:left="0" w:right="0" w:hanging="0"/>
              <w:jc w:val="right"/>
              <w:rPr/>
            </w:pPr>
            <w:r>
              <w:rPr/>
              <w:t>  ​</w:t>
            </w:r>
          </w:p>
        </w:tc>
        <w:tc>
          <w:tcPr>
            <w:tcW w:w="316" w:type="dxa"/>
            <w:tcBorders/>
            <w:shd w:fill="CCEEFF" w:val="clear"/>
            <w:vAlign w:val="center"/>
          </w:tcPr>
          <w:p>
            <w:pPr>
              <w:pStyle w:val="TableContents"/>
              <w:bidi w:val="0"/>
              <w:spacing w:lineRule="auto" w:line="285" w:before="0" w:after="0"/>
              <w:ind w:left="0" w:right="0" w:hanging="0"/>
              <w:jc w:val="center"/>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sales volume</w:t>
            </w:r>
          </w:p>
        </w:tc>
        <w:tc>
          <w:tcPr>
            <w:tcW w:w="346" w:type="dxa"/>
            <w:tcBorders/>
            <w:vAlign w:val="center"/>
          </w:tcPr>
          <w:p>
            <w:pPr>
              <w:pStyle w:val="TableContents"/>
              <w:bidi w:val="0"/>
              <w:spacing w:lineRule="auto" w:line="285" w:before="0" w:after="0"/>
              <w:ind w:left="0" w:right="0" w:hanging="0"/>
              <w:jc w:val="left"/>
              <w:rPr/>
            </w:pPr>
            <w:r>
              <w:rPr/>
              <w:t> </w:t>
            </w:r>
          </w:p>
        </w:tc>
        <w:tc>
          <w:tcPr>
            <w:tcW w:w="18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27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5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product pricing</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8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271" w:type="dxa"/>
            <w:tcBorders/>
            <w:shd w:fill="CCEEFF" w:val="clear"/>
            <w:vAlign w:val="center"/>
          </w:tcPr>
          <w:p>
            <w:pPr>
              <w:pStyle w:val="TableContents"/>
              <w:bidi w:val="0"/>
              <w:spacing w:lineRule="auto" w:line="285" w:before="0" w:after="0"/>
              <w:ind w:left="0" w:right="0" w:hanging="0"/>
              <w:jc w:val="center"/>
              <w:rPr/>
            </w:pPr>
            <w:r>
              <w:rPr/>
              <w:t>​</w:t>
            </w:r>
          </w:p>
        </w:tc>
        <w:tc>
          <w:tcPr>
            <w:tcW w:w="15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CCEEFF" w:val="clear"/>
            <w:vAlign w:val="center"/>
          </w:tcPr>
          <w:p>
            <w:pPr>
              <w:pStyle w:val="TableContents"/>
              <w:bidi w:val="0"/>
              <w:spacing w:lineRule="auto" w:line="285" w:before="0" w:after="0"/>
              <w:ind w:left="0" w:right="0" w:hanging="0"/>
              <w:jc w:val="center"/>
              <w:rPr/>
            </w:pPr>
            <w:r>
              <w:rPr/>
              <w:t>​</w:t>
            </w:r>
          </w:p>
        </w:tc>
      </w:tr>
      <w:tr>
        <w:trPr/>
        <w:tc>
          <w:tcPr>
            <w:tcW w:w="3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TiO</w:t>
            </w:r>
            <w:r>
              <w:rPr>
                <w:rFonts w:ascii="Times New Roman;Times;serif" w:hAnsi="Times New Roman;Times;serif"/>
                <w:sz w:val="15"/>
              </w:rPr>
              <w:t>2</w:t>
            </w:r>
            <w:r>
              <w:rPr>
                <w:rFonts w:ascii="Times New Roman;Times;serif" w:hAnsi="Times New Roman;Times;serif"/>
                <w:sz w:val="20"/>
              </w:rPr>
              <w:t xml:space="preserve"> product mix/other</w:t>
            </w:r>
          </w:p>
        </w:tc>
        <w:tc>
          <w:tcPr>
            <w:tcW w:w="346" w:type="dxa"/>
            <w:tcBorders/>
            <w:vAlign w:val="center"/>
          </w:tcPr>
          <w:p>
            <w:pPr>
              <w:pStyle w:val="TableContents"/>
              <w:bidi w:val="0"/>
              <w:spacing w:lineRule="auto" w:line="285" w:before="0" w:after="0"/>
              <w:ind w:left="0" w:right="0" w:hanging="0"/>
              <w:jc w:val="left"/>
              <w:rPr/>
            </w:pPr>
            <w:r>
              <w:rPr/>
              <w:t> </w:t>
            </w:r>
          </w:p>
        </w:tc>
        <w:tc>
          <w:tcPr>
            <w:tcW w:w="18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271" w:type="dxa"/>
            <w:tcBorders/>
            <w:vAlign w:val="center"/>
          </w:tcPr>
          <w:p>
            <w:pPr>
              <w:pStyle w:val="TableContents"/>
              <w:bidi w:val="0"/>
              <w:spacing w:lineRule="auto" w:line="285" w:before="0" w:after="0"/>
              <w:ind w:left="0" w:right="0" w:hanging="0"/>
              <w:jc w:val="center"/>
              <w:rPr/>
            </w:pPr>
            <w:r>
              <w:rPr/>
              <w:t>​</w:t>
            </w:r>
          </w:p>
        </w:tc>
        <w:tc>
          <w:tcPr>
            <w:tcW w:w="15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vAlign w:val="center"/>
          </w:tcPr>
          <w:p>
            <w:pPr>
              <w:pStyle w:val="TableContents"/>
              <w:bidi w:val="0"/>
              <w:spacing w:lineRule="auto" w:line="285" w:before="0" w:after="0"/>
              <w:ind w:left="0" w:right="0" w:hanging="0"/>
              <w:jc w:val="center"/>
              <w:rPr/>
            </w:pPr>
            <w:r>
              <w:rPr/>
              <w:t>​</w:t>
            </w:r>
          </w:p>
        </w:tc>
      </w:tr>
      <w:tr>
        <w:trPr/>
        <w:tc>
          <w:tcPr>
            <w:tcW w:w="30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Changes in currency exchange rates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8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271" w:type="dxa"/>
            <w:tcBorders/>
            <w:shd w:fill="CCEEFF" w:val="clear"/>
            <w:vAlign w:val="center"/>
          </w:tcPr>
          <w:p>
            <w:pPr>
              <w:pStyle w:val="TableContents"/>
              <w:bidi w:val="0"/>
              <w:spacing w:lineRule="auto" w:line="285" w:before="0" w:after="0"/>
              <w:ind w:left="0" w:right="0" w:hanging="0"/>
              <w:jc w:val="center"/>
              <w:rPr/>
            </w:pPr>
            <w:r>
              <w:rPr/>
              <w:t>​</w:t>
            </w:r>
          </w:p>
        </w:tc>
        <w:tc>
          <w:tcPr>
            <w:tcW w:w="15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16" w:type="dxa"/>
            <w:tcBorders/>
            <w:shd w:fill="CCEEFF" w:val="clear"/>
            <w:vAlign w:val="center"/>
          </w:tcPr>
          <w:p>
            <w:pPr>
              <w:pStyle w:val="TableContents"/>
              <w:bidi w:val="0"/>
              <w:spacing w:lineRule="auto" w:line="285" w:before="0" w:after="0"/>
              <w:ind w:left="0" w:right="0" w:hanging="0"/>
              <w:jc w:val="center"/>
              <w:rPr/>
            </w:pPr>
            <w:r>
              <w:rPr/>
              <w:t>​</w:t>
            </w:r>
          </w:p>
        </w:tc>
      </w:tr>
      <w:tr>
        <w:trPr/>
        <w:tc>
          <w:tcPr>
            <w:tcW w:w="30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61" w:type="dxa"/>
            <w:tcBorders/>
            <w:vAlign w:val="center"/>
          </w:tcPr>
          <w:p>
            <w:pPr>
              <w:pStyle w:val="TableContents"/>
              <w:bidi w:val="0"/>
              <w:spacing w:lineRule="auto" w:line="285" w:before="0" w:after="0"/>
              <w:ind w:left="0" w:right="0" w:hanging="0"/>
              <w:jc w:val="left"/>
              <w:rPr/>
            </w:pPr>
            <w:r>
              <w:rPr/>
              <w:t>​</w:t>
            </w:r>
          </w:p>
        </w:tc>
        <w:tc>
          <w:tcPr>
            <w:tcW w:w="271" w:type="dxa"/>
            <w:tcBorders/>
            <w:vAlign w:val="center"/>
          </w:tcPr>
          <w:p>
            <w:pPr>
              <w:pStyle w:val="TableContents"/>
              <w:bidi w:val="0"/>
              <w:spacing w:lineRule="auto" w:line="285" w:before="0" w:after="0"/>
              <w:ind w:left="0" w:right="0" w:hanging="0"/>
              <w:jc w:val="center"/>
              <w:rPr/>
            </w:pPr>
            <w:r>
              <w:rPr/>
              <w:t>​</w:t>
            </w:r>
          </w:p>
        </w:tc>
        <w:tc>
          <w:tcPr>
            <w:tcW w:w="1576" w:type="dxa"/>
            <w:tcBorders/>
            <w:vAlign w:val="center"/>
          </w:tcPr>
          <w:p>
            <w:pPr>
              <w:pStyle w:val="TableContents"/>
              <w:bidi w:val="0"/>
              <w:spacing w:lineRule="auto" w:line="285" w:before="0" w:after="0"/>
              <w:ind w:left="0" w:right="0" w:hanging="0"/>
              <w:jc w:val="left"/>
              <w:rPr/>
            </w:pPr>
            <w:r>
              <w:rPr/>
              <w:t>​</w:t>
            </w:r>
          </w:p>
        </w:tc>
        <w:tc>
          <w:tcPr>
            <w:tcW w:w="316" w:type="dxa"/>
            <w:tcBorders/>
            <w:vAlign w:val="center"/>
          </w:tcPr>
          <w:p>
            <w:pPr>
              <w:pStyle w:val="TableContents"/>
              <w:bidi w:val="0"/>
              <w:spacing w:lineRule="auto" w:line="285" w:before="0" w:after="0"/>
              <w:ind w:left="0" w:right="0" w:hanging="0"/>
              <w:jc w:val="center"/>
              <w:rPr/>
            </w:pPr>
            <w:r>
              <w:rPr/>
              <w:t>​</w:t>
            </w:r>
          </w:p>
        </w:tc>
      </w:tr>
      <w:tr>
        <w:trPr/>
        <w:tc>
          <w:tcPr>
            <w:tcW w:w="30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86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27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5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16"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5 of 5</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3" w:name="kro-20260805xex99d2.htm"/>
      <w:bookmarkStart w:id="34" w:name="kskro20260805xex99d2"/>
      <w:bookmarkStart w:id="35" w:name="kro-20260805xex99d2.htm"/>
      <w:bookmarkStart w:id="36" w:name="kskro20260805xex99d2"/>
      <w:bookmarkEnd w:id="35"/>
      <w:bookmarkEnd w:id="36"/>
      <w:r>
        <w:br w:type="page"/>
      </w:r>
    </w:p>
    <w:tbl>
      <w:tblPr>
        <w:tblW w:w="3739" w:type="dxa"/>
        <w:jc w:val="left"/>
        <w:tblInd w:w="0" w:type="dxa"/>
        <w:tblLayout w:type="fixed"/>
        <w:tblCellMar>
          <w:top w:w="0" w:type="dxa"/>
          <w:left w:w="0" w:type="dxa"/>
          <w:bottom w:w="0" w:type="dxa"/>
          <w:right w:w="0" w:type="dxa"/>
        </w:tblCellMar>
      </w:tblPr>
      <w:tblGrid>
        <w:gridCol w:w="3739"/>
      </w:tblGrid>
      <w:tr>
        <w:trPr/>
        <w:tc>
          <w:tcPr>
            <w:tcW w:w="3739" w:type="dxa"/>
            <w:tcBorders/>
            <w:vAlign w:val="center"/>
          </w:tcPr>
          <w:p>
            <w:pPr>
              <w:pStyle w:val="TableContents"/>
              <w:bidi w:val="0"/>
              <w:spacing w:before="0" w:after="0"/>
              <w:ind w:left="0" w:right="0" w:hanging="0"/>
              <w:jc w:val="left"/>
              <w:rPr/>
            </w:pPr>
            <w:r>
              <w:rPr/>
              <w:t>​</w:t>
            </w:r>
          </w:p>
        </w:tc>
      </w:tr>
      <w:tr>
        <w:trPr/>
        <w:tc>
          <w:tcPr>
            <w:tcW w:w="3739" w:type="dxa"/>
            <w:tcBorders>
              <w:top w:val="single" w:sz="2" w:space="0" w:color="000000"/>
            </w:tcBorders>
            <w:tcMar>
              <w:top w:w="28" w:type="dxa"/>
            </w:tcMar>
            <w:vAlign w:val="center"/>
          </w:tcPr>
          <w:p>
            <w:pPr>
              <w:pStyle w:val="TableContents"/>
              <w:bidi w:val="0"/>
              <w:spacing w:before="0" w:after="0"/>
              <w:jc w:val="left"/>
              <w:rPr/>
            </w:pPr>
            <w:r>
              <w:rPr/>
              <w:drawing>
                <wp:inline distT="0" distB="0" distL="0" distR="0">
                  <wp:extent cx="2281555" cy="739140"/>
                  <wp:effectExtent l="0" t="0" r="0" b="0"/>
                  <wp:docPr id="6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 descr=""/>
                          <pic:cNvPicPr>
                            <a:picLocks noChangeAspect="1" noChangeArrowheads="1"/>
                          </pic:cNvPicPr>
                        </pic:nvPicPr>
                        <pic:blipFill>
                          <a:blip r:embed="rId3"/>
                          <a:stretch>
                            <a:fillRect/>
                          </a:stretch>
                        </pic:blipFill>
                        <pic:spPr bwMode="auto">
                          <a:xfrm>
                            <a:off x="0" y="0"/>
                            <a:ext cx="2281555" cy="739140"/>
                          </a:xfrm>
                          <a:prstGeom prst="rect">
                            <a:avLst/>
                          </a:prstGeom>
                        </pic:spPr>
                      </pic:pic>
                    </a:graphicData>
                  </a:graphic>
                </wp:inline>
              </w:drawing>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KRONOS WORLDWIDE, INC. ANNOUNCES QUARTERLY DIVIDEND</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DALLAS, TEXAS – August 5, 2026 – Kronos Worldwide, Inc. (NYSE:  KRO) announced that its board of directors has declared a regular quarterly dividend of five cents ($0.05) per share on its common stock, payable on September 17, 2026 to stockholders of record at the close of business on September 3, 2026.</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Kronos Worldwide, Inc. is a major international producer of titanium dioxide products.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center"/>
        <w:rPr>
          <w:rFonts w:ascii="Times New Roman;Times;serif" w:hAnsi="Times New Roman;Times;serif"/>
          <w:spacing w:val="-2"/>
          <w:sz w:val="22"/>
        </w:rPr>
      </w:pPr>
      <w:r>
        <w:rPr>
          <w:rFonts w:ascii="Times New Roman;Times;serif" w:hAnsi="Times New Roman;Times;serif"/>
          <w:spacing w:val="-2"/>
          <w:sz w:val="22"/>
        </w:rPr>
        <w:t>* * * * *</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Tel. 972-233-1700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2864</Words>
  <Characters>15625</Characters>
  <CharactersWithSpaces>18935</CharactersWithSpaces>
  <Paragraphs>1133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