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kro-20260630x10q.htm"/>
        <w:bookmarkStart w:id="1" w:name="kskro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dde03e8e_874a_42dd_b05b_96f1cc89fa3f"/>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80"/>
        <w:ind w:left="0" w:right="0" w:hanging="0"/>
        <w:jc w:val="center"/>
        <w:rPr>
          <w:rFonts w:ascii="Times New Roman;Times;serif" w:hAnsi="Times New Roman;Times;serif"/>
          <w:b/>
          <w:sz w:val="32"/>
        </w:rPr>
      </w:pPr>
      <w:r>
        <w:rPr>
          <w:rFonts w:ascii="Times New Roman;Times;serif" w:hAnsi="Times New Roman;Times;serif"/>
          <w:b/>
          <w:sz w:val="32"/>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center"/>
        <w:rPr/>
      </w:pPr>
      <w:r>
        <w:rPr/>
        <w:t>☒    </w:t>
      </w:r>
      <w:r>
        <w:rPr>
          <w:rFonts w:ascii="Times New Roman;Times;serif" w:hAnsi="Times New Roman;Times;serif"/>
          <w:b/>
          <w:sz w:val="24"/>
        </w:rPr>
        <w:t>QUARTERLY REPORT PURSUANT TO SECTION 13 OR 15(d) OF</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    </w:t>
      </w:r>
      <w:r>
        <w:rPr>
          <w:rFonts w:ascii="Times New Roman;Times;serif" w:hAnsi="Times New Roman;Times;serif"/>
          <w:b/>
          <w:sz w:val="24"/>
        </w:rPr>
        <w:t>TRANSITION REPORT PURSUANT TO SECTION 13 OR 15(d) OF</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Commission file number 1-31763</w:t>
      </w:r>
    </w:p>
    <w:p>
      <w:pPr>
        <w:pStyle w:val="TextBody"/>
        <w:bidi w:val="0"/>
        <w:spacing w:before="0" w:after="80"/>
        <w:ind w:left="0" w:right="0" w:hanging="0"/>
        <w:jc w:val="center"/>
        <w:rPr>
          <w:rFonts w:ascii="Times New Roman;Times;serif" w:hAnsi="Times New Roman;Times;serif"/>
          <w:b/>
          <w:sz w:val="40"/>
        </w:rPr>
      </w:pPr>
      <w:r>
        <w:rPr>
          <w:rFonts w:ascii="Times New Roman;Times;serif" w:hAnsi="Times New Roman;Times;serif"/>
          <w:b/>
          <w:sz w:val="40"/>
        </w:rPr>
        <w:t>KRONOS WORLDWIDE, INC.</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Normal"/>
        <w:bidi w:val="0"/>
        <w:spacing w:before="0" w:after="0"/>
        <w:jc w:val="left"/>
        <w:rPr>
          <w:sz w:val="4"/>
          <w:szCs w:val="4"/>
        </w:rPr>
      </w:pPr>
      <w:r>
        <w:rPr>
          <w:sz w:val="4"/>
          <w:szCs w:val="4"/>
        </w:rPr>
      </w:r>
      <w:bookmarkStart w:id="3" w:name="Tc_nZOkSMdST0OCHc8eOca7BA_2_2"/>
      <w:bookmarkStart w:id="4" w:name="Tc_XDNfXkEGLEG0HDunFDKj1w_2_0"/>
      <w:bookmarkStart w:id="5" w:name="_3530a48c_62b5_43a4_a057_19241c9606bc"/>
      <w:bookmarkStart w:id="6" w:name="Tc_nZOkSMdST0OCHc8eOca7BA_2_2"/>
      <w:bookmarkStart w:id="7" w:name="Tc_XDNfXkEGLEG0HDunFDKj1w_2_0"/>
      <w:bookmarkStart w:id="8" w:name="_3530a48c_62b5_43a4_a057_19241c9606bc"/>
      <w:bookmarkEnd w:id="6"/>
      <w:bookmarkEnd w:id="7"/>
      <w:bookmarkEnd w:id="8"/>
    </w:p>
    <w:tbl>
      <w:tblPr>
        <w:tblW w:w="4773" w:type="dxa"/>
        <w:jc w:val="left"/>
        <w:tblInd w:w="0" w:type="dxa"/>
        <w:tblLayout w:type="fixed"/>
        <w:tblCellMar>
          <w:top w:w="0" w:type="dxa"/>
          <w:left w:w="0" w:type="dxa"/>
          <w:bottom w:w="0" w:type="dxa"/>
          <w:right w:w="0" w:type="dxa"/>
        </w:tblCellMar>
      </w:tblPr>
      <w:tblGrid>
        <w:gridCol w:w="2746"/>
        <w:gridCol w:w="346"/>
        <w:gridCol w:w="168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43710" cy="175260"/>
                      <wp:effectExtent l="0" t="0" r="0" b="0"/>
                      <wp:wrapNone/>
                      <wp:docPr id="1" name="Frame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67435" cy="175260"/>
                      <wp:effectExtent l="0" t="0" r="0" b="0"/>
                      <wp:wrapNone/>
                      <wp:docPr id="3" name="Frame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346" w:type="dxa"/>
            <w:tcBorders/>
            <w:vAlign w:val="center"/>
          </w:tcPr>
          <w:p>
            <w:pPr>
              <w:pStyle w:val="TableContents"/>
              <w:bidi w:val="0"/>
              <w:spacing w:before="0" w:after="0"/>
              <w:ind w:left="0" w:right="0" w:hanging="0"/>
              <w:jc w:val="left"/>
              <w:rPr/>
            </w:pPr>
            <w:r>
              <w:rPr/>
              <w:t>  ​ ​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76-0294959</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346" w:type="dxa"/>
            <w:tcBorders/>
            <w:vAlign w:val="center"/>
          </w:tcPr>
          <w:p>
            <w:pPr>
              <w:pStyle w:val="TableContents"/>
              <w:bidi w:val="0"/>
              <w:spacing w:before="0" w:after="0"/>
              <w:ind w:left="0" w:right="0" w:hanging="0"/>
              <w:jc w:val="center"/>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Dallas, Texas</w:t>
      </w:r>
      <w:r>
        <w:rPr>
          <w:rFonts w:ascii="Times New Roman;Times;serif" w:hAnsi="Times New Roman;Times;serif"/>
          <w:sz w:val="20"/>
        </w:rPr>
        <w:t xml:space="preserve"> </w:t>
      </w:r>
      <w:r>
        <w:rPr>
          <w:rFonts w:ascii="Times New Roman;Times;serif" w:hAnsi="Times New Roman;Times;serif"/>
          <w:b/>
          <w:sz w:val="20"/>
        </w:rPr>
        <w:t>75240-2620</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(972) 233-1700</w:t>
      </w:r>
    </w:p>
    <w:p>
      <w:pPr>
        <w:pStyle w:val="TextBody"/>
        <w:bidi w:val="0"/>
        <w:spacing w:before="0" w:after="8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Normal"/>
        <w:bidi w:val="0"/>
        <w:spacing w:before="0" w:after="0"/>
        <w:jc w:val="left"/>
        <w:rPr>
          <w:sz w:val="4"/>
          <w:szCs w:val="4"/>
        </w:rPr>
      </w:pPr>
      <w:r>
        <w:rPr>
          <w:sz w:val="4"/>
          <w:szCs w:val="4"/>
        </w:rPr>
      </w:r>
      <w:bookmarkStart w:id="9" w:name="Tc_oXbTkVV_OEuCQ_bJFetiHw_1_4"/>
      <w:bookmarkStart w:id="10" w:name="Tc_PnjpNtSTHk-iw1B60cRpZA_1_2"/>
      <w:bookmarkStart w:id="11" w:name="Tc_HgcqDr2P2EenPk0YZX-dVQ_1_0"/>
      <w:bookmarkStart w:id="12" w:name="_e13bdbc2_bdf4_4715_b7b9_20c624215381"/>
      <w:bookmarkStart w:id="13" w:name="Tc_oXbTkVV_OEuCQ_bJFetiHw_1_4"/>
      <w:bookmarkStart w:id="14" w:name="Tc_PnjpNtSTHk-iw1B60cRpZA_1_2"/>
      <w:bookmarkStart w:id="15" w:name="Tc_HgcqDr2P2EenPk0YZX-dVQ_1_0"/>
      <w:bookmarkStart w:id="16" w:name="_e13bdbc2_bdf4_4715_b7b9_20c624215381"/>
      <w:bookmarkEnd w:id="13"/>
      <w:bookmarkEnd w:id="14"/>
      <w:bookmarkEnd w:id="15"/>
      <w:bookmarkEnd w:id="16"/>
    </w:p>
    <w:tbl>
      <w:tblPr>
        <w:tblW w:w="7190" w:type="dxa"/>
        <w:jc w:val="left"/>
        <w:tblInd w:w="0" w:type="dxa"/>
        <w:tblLayout w:type="fixed"/>
        <w:tblCellMar>
          <w:top w:w="0" w:type="dxa"/>
          <w:left w:w="0" w:type="dxa"/>
          <w:bottom w:w="0" w:type="dxa"/>
          <w:right w:w="0" w:type="dxa"/>
        </w:tblCellMar>
      </w:tblPr>
      <w:tblGrid>
        <w:gridCol w:w="1456"/>
        <w:gridCol w:w="346"/>
        <w:gridCol w:w="1561"/>
        <w:gridCol w:w="346"/>
        <w:gridCol w:w="3481"/>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24560" cy="175260"/>
                      <wp:effectExtent l="0" t="0" r="0" b="0"/>
                      <wp:wrapNone/>
                      <wp:docPr id="4" name="Frame4"/>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91235" cy="175260"/>
                      <wp:effectExtent l="0" t="0" r="0" b="0"/>
                      <wp:wrapNone/>
                      <wp:docPr id="6" name="Frame6"/>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210435" cy="175260"/>
                      <wp:effectExtent l="0" t="0" r="0" b="0"/>
                      <wp:wrapNone/>
                      <wp:docPr id="8" name="Frame8"/>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456"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w:t>
            </w:r>
          </w:p>
        </w:tc>
        <w:tc>
          <w:tcPr>
            <w:tcW w:w="346" w:type="dxa"/>
            <w:tcBorders/>
            <w:vAlign w:val="center"/>
          </w:tcPr>
          <w:p>
            <w:pPr>
              <w:pStyle w:val="TableContents"/>
              <w:bidi w:val="0"/>
              <w:spacing w:before="0" w:after="240"/>
              <w:ind w:left="0" w:right="0" w:hanging="0"/>
              <w:jc w:val="center"/>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KRO</w:t>
            </w:r>
          </w:p>
        </w:tc>
        <w:tc>
          <w:tcPr>
            <w:tcW w:w="346" w:type="dxa"/>
            <w:tcBorders/>
            <w:vAlign w:val="center"/>
          </w:tcPr>
          <w:p>
            <w:pPr>
              <w:pStyle w:val="TableContents"/>
              <w:bidi w:val="0"/>
              <w:spacing w:before="0" w:after="240"/>
              <w:ind w:left="0" w:right="0" w:hanging="0"/>
              <w:jc w:val="center"/>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NYSE</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(1) has filed all reports required to be filed by Section 13 or 15(d) of the Securities Exchange Act of 1934 during the preceding 12 months and (2) has been subject to such filing requirements for the past 90 days.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7" w:name="Tc_gDHg-TZqq0eIjOEghX1Puw_3_0"/>
      <w:bookmarkStart w:id="18" w:name="Tc_Q2WA7Ki_p02WOuam9brGsw_2_2"/>
      <w:bookmarkStart w:id="19" w:name="Tc_HWUJl8pttEiHmQbfSKgMdA_2_1"/>
      <w:bookmarkStart w:id="20" w:name="Tc_i1kbWiDZmUi_JSGz0U2W4A_2_0"/>
      <w:bookmarkStart w:id="21" w:name="Tc_WfP1dvqIlUWzPkExDKrxBg_1_3"/>
      <w:bookmarkStart w:id="22" w:name="Tc_yMCbGWuAWUqCx35_auuWZA_1_1"/>
      <w:bookmarkStart w:id="23" w:name="Tc_EGsNjkynnka1UkEAx8tuXg_1_0"/>
      <w:bookmarkStart w:id="24" w:name="_f8128448_fdde_43a2_8ee0_e1048b9d262d"/>
      <w:bookmarkStart w:id="25" w:name="Tc_gDHg-TZqq0eIjOEghX1Puw_3_0"/>
      <w:bookmarkStart w:id="26" w:name="Tc_Q2WA7Ki_p02WOuam9brGsw_2_2"/>
      <w:bookmarkStart w:id="27" w:name="Tc_HWUJl8pttEiHmQbfSKgMdA_2_1"/>
      <w:bookmarkStart w:id="28" w:name="Tc_i1kbWiDZmUi_JSGz0U2W4A_2_0"/>
      <w:bookmarkStart w:id="29" w:name="Tc_WfP1dvqIlUWzPkExDKrxBg_1_3"/>
      <w:bookmarkStart w:id="30" w:name="Tc_yMCbGWuAWUqCx35_auuWZA_1_1"/>
      <w:bookmarkStart w:id="31" w:name="Tc_EGsNjkynnka1UkEAx8tuXg_1_0"/>
      <w:bookmarkStart w:id="32" w:name="_f8128448_fdde_43a2_8ee0_e1048b9d262d"/>
      <w:bookmarkEnd w:id="25"/>
      <w:bookmarkEnd w:id="26"/>
      <w:bookmarkEnd w:id="27"/>
      <w:bookmarkEnd w:id="28"/>
      <w:bookmarkEnd w:id="29"/>
      <w:bookmarkEnd w:id="30"/>
      <w:bookmarkEnd w:id="31"/>
      <w:bookmarkEnd w:id="32"/>
    </w:p>
    <w:tbl>
      <w:tblPr>
        <w:tblW w:w="5899" w:type="dxa"/>
        <w:jc w:val="left"/>
        <w:tblInd w:w="0" w:type="dxa"/>
        <w:tblLayout w:type="fixed"/>
        <w:tblCellMar>
          <w:top w:w="0" w:type="dxa"/>
          <w:left w:w="0" w:type="dxa"/>
          <w:bottom w:w="0" w:type="dxa"/>
          <w:right w:w="0" w:type="dxa"/>
        </w:tblCellMar>
      </w:tblPr>
      <w:tblGrid>
        <w:gridCol w:w="2536"/>
        <w:gridCol w:w="376"/>
        <w:gridCol w:w="2626"/>
        <w:gridCol w:w="36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610360" cy="175260"/>
                      <wp:effectExtent l="0" t="0" r="0" b="0"/>
                      <wp:wrapNone/>
                      <wp:docPr id="9" name="Frame9"/>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38760" cy="175260"/>
                      <wp:effectExtent l="0" t="0" r="0" b="0"/>
                      <wp:wrapNone/>
                      <wp:docPr id="10" name="Frame1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667510" cy="175260"/>
                      <wp:effectExtent l="0" t="0" r="0" b="0"/>
                      <wp:wrapNone/>
                      <wp:docPr id="11" name="Frame11"/>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9235" cy="175260"/>
                      <wp:effectExtent l="0" t="0" r="0" b="0"/>
                      <wp:wrapNone/>
                      <wp:docPr id="12" name="Frame1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Large accelerated filer </w:t>
            </w:r>
          </w:p>
        </w:tc>
        <w:tc>
          <w:tcPr>
            <w:tcW w:w="37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Accelerated filer</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Non-accelerated filer </w:t>
            </w:r>
          </w:p>
        </w:tc>
        <w:tc>
          <w:tcPr>
            <w:tcW w:w="376" w:type="dxa"/>
            <w:tcBorders/>
            <w:vAlign w:val="center"/>
          </w:tcPr>
          <w:p>
            <w:pPr>
              <w:pStyle w:val="TableContents"/>
              <w:bidi w:val="0"/>
              <w:spacing w:before="0" w:after="0"/>
              <w:ind w:left="0" w:right="0" w:hanging="0"/>
              <w:jc w:val="both"/>
              <w:rPr/>
            </w:pPr>
            <w:r>
              <w:rPr/>
              <w:t xml:space="preserve">☐ </w:t>
            </w:r>
          </w:p>
        </w:tc>
        <w:tc>
          <w:tcPr>
            <w:tcW w:w="2626" w:type="dxa"/>
            <w:tcBorders/>
            <w:vAlign w:val="center"/>
          </w:tcPr>
          <w:p>
            <w:pPr>
              <w:pStyle w:val="TableContents"/>
              <w:bidi w:val="0"/>
              <w:spacing w:before="0" w:after="0"/>
              <w:ind w:left="0" w:right="0" w:hanging="0"/>
              <w:jc w:val="right"/>
              <w:rPr/>
            </w:pPr>
            <w:r>
              <w:rPr/>
              <w:t>  ​</w:t>
            </w:r>
            <w:r>
              <w:rPr>
                <w:rFonts w:ascii="Times New Roman;Times;serif" w:hAnsi="Times New Roman;Times;serif"/>
                <w:b/>
                <w:sz w:val="20"/>
              </w:rPr>
              <w:t xml:space="preserve">Smaller reporting company </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w:t>
            </w:r>
          </w:p>
        </w:tc>
        <w:tc>
          <w:tcPr>
            <w:tcW w:w="37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240"/>
              <w:ind w:left="0" w:right="0" w:hanging="0"/>
              <w:jc w:val="right"/>
              <w:rPr/>
            </w:pPr>
            <w:r>
              <w:rPr/>
              <w:t>​</w:t>
            </w:r>
          </w:p>
        </w:tc>
        <w:tc>
          <w:tcPr>
            <w:tcW w:w="361" w:type="dxa"/>
            <w:tcBorders/>
            <w:vAlign w:val="center"/>
          </w:tcPr>
          <w:p>
            <w:pPr>
              <w:pStyle w:val="TableContents"/>
              <w:bidi w:val="0"/>
              <w:spacing w:before="0" w:after="24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18"/>
        </w:rPr>
      </w:pPr>
      <w:r>
        <w:rPr>
          <w:rFonts w:ascii="Times New Roman;Times;serif" w:hAnsi="Times New Roman;Times;serif"/>
          <w:b/>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b/>
          <w:sz w:val="18"/>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b/>
          <w:sz w:val="18"/>
        </w:rPr>
        <w:t>No  </w:t>
      </w:r>
      <w:r>
        <w:rPr>
          <w:rFonts w:ascii="Times New Roman;Times;serif" w:hAnsi="Times New Roman;Times;serif"/>
          <w:sz w:val="20"/>
        </w:rPr>
        <w:t>☒</w:t>
      </w:r>
    </w:p>
    <w:p>
      <w:pPr>
        <w:pStyle w:val="TextBody"/>
        <w:bidi w:val="0"/>
        <w:spacing w:before="0" w:after="80"/>
        <w:ind w:left="0" w:right="0" w:firstLine="360"/>
        <w:jc w:val="both"/>
        <w:rPr>
          <w:rFonts w:ascii="Times New Roman;Times;serif" w:hAnsi="Times New Roman;Times;serif"/>
          <w:b/>
          <w:sz w:val="18"/>
        </w:rPr>
      </w:pPr>
      <w:r>
        <w:rPr>
          <w:rFonts w:ascii="Times New Roman;Times;serif" w:hAnsi="Times New Roman;Times;serif"/>
          <w:b/>
          <w:sz w:val="18"/>
        </w:rPr>
        <w:t>Number of shares of the registrant’s common stock, $.01 par value per share, outstanding on July 31, 2026:  115,097,516</w:t>
      </w:r>
    </w:p>
    <w:p>
      <w:pPr>
        <w:pStyle w:val="TextBody"/>
        <w:pBdr>
          <w:top w:val="single" w:sz="8" w:space="1" w:color="000000"/>
          <w:bottom w:val="single" w:sz="24" w:space="1" w:color="000000"/>
        </w:pBdr>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3" w:name="_53ad540f_382e_4415_83bf_cf8604dde6f7"/>
      <w:bookmarkEnd w:id="33"/>
      <w:r>
        <w:rPr>
          <w:rFonts w:ascii="Times New Roman;Times;serif" w:hAnsi="Times New Roman;Times;serif"/>
          <w:b/>
          <w:sz w:val="20"/>
        </w:rPr>
        <w:t>KRONOS WORLDWIDE, INC. AND SUBSIDIARIES</w:t>
      </w:r>
    </w:p>
    <w:p>
      <w:pPr>
        <w:pStyle w:val="TextBody"/>
        <w:bidi w:val="0"/>
        <w:spacing w:before="0" w:after="120"/>
        <w:ind w:left="0" w:right="0" w:hanging="0"/>
        <w:jc w:val="center"/>
        <w:rPr>
          <w:rFonts w:ascii="Times New Roman;Times;serif" w:hAnsi="Times New Roman;Times;serif"/>
          <w:b/>
          <w:sz w:val="20"/>
        </w:rPr>
      </w:pPr>
      <w:bookmarkStart w:id="34" w:name="TOC"/>
      <w:bookmarkEnd w:id="34"/>
      <w:r>
        <w:rPr>
          <w:rFonts w:ascii="Times New Roman;Times;serif" w:hAnsi="Times New Roman;Times;serif"/>
          <w:b/>
          <w:sz w:val="20"/>
        </w:rPr>
        <w:t>INDEX</w:t>
      </w:r>
    </w:p>
    <w:tbl>
      <w:tblPr>
        <w:tblW w:w="9575" w:type="dxa"/>
        <w:jc w:val="left"/>
        <w:tblInd w:w="0" w:type="dxa"/>
        <w:tblLayout w:type="fixed"/>
        <w:tblCellMar>
          <w:top w:w="0" w:type="dxa"/>
          <w:left w:w="0" w:type="dxa"/>
          <w:bottom w:w="0" w:type="dxa"/>
          <w:right w:w="0" w:type="dxa"/>
        </w:tblCellMar>
      </w:tblPr>
      <w:tblGrid>
        <w:gridCol w:w="811"/>
        <w:gridCol w:w="346"/>
        <w:gridCol w:w="7366"/>
        <w:gridCol w:w="346"/>
        <w:gridCol w:w="42"/>
        <w:gridCol w:w="664"/>
      </w:tblGrid>
      <w:tr>
        <w:trPr/>
        <w:tc>
          <w:tcPr>
            <w:tcW w:w="8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57175" cy="175260"/>
                      <wp:effectExtent l="0" t="0" r="0" b="0"/>
                      <wp:wrapNone/>
                      <wp:docPr id="13" name="Frame13"/>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Heading"/>
                                    <w:bidi w:val="0"/>
                                    <w:spacing w:before="0" w:after="12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12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09855" cy="175260"/>
                      <wp:effectExtent l="0" t="0" r="0" b="0"/>
                      <wp:wrapNone/>
                      <wp:docPr id="14" name="Frame14"/>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12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120"/>
                              <w:ind w:left="0" w:right="0" w:hanging="0"/>
                              <w:rPr/>
                            </w:pPr>
                            <w:r>
                              <w:rPr/>
                              <w:t>​</w:t>
                            </w:r>
                          </w:p>
                        </w:txbxContent>
                      </v:textbox>
                      <w10:wrap type="none"/>
                    </v:rect>
                  </w:pict>
                </mc:Fallback>
              </mc:AlternateContent>
            </w:r>
          </w:p>
        </w:tc>
        <w:tc>
          <w:tcPr>
            <w:tcW w:w="736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338705" cy="175260"/>
                      <wp:effectExtent l="0" t="0" r="0" b="0"/>
                      <wp:wrapNone/>
                      <wp:docPr id="15" name="Frame15"/>
                      <a:graphic xmlns:a="http://schemas.openxmlformats.org/drawingml/2006/main">
                        <a:graphicData uri="http://schemas.microsoft.com/office/word/2010/wordprocessingShape">
                          <wps:wsp>
                            <wps:cNvSpPr txBox="1"/>
                            <wps:spPr>
                              <a:xfrm>
                                <a:off x="0" y="0"/>
                                <a:ext cx="2338705" cy="175260"/>
                              </a:xfrm>
                              <a:prstGeom prst="rect"/>
                              <a:solidFill>
                                <a:srgbClr val="FFFFFF"/>
                              </a:solidFill>
                            </wps:spPr>
                            <wps:txbx>
                              <w:txbxContent>
                                <w:p>
                                  <w:pPr>
                                    <w:pStyle w:val="TableHeading"/>
                                    <w:bidi w:val="0"/>
                                    <w:spacing w:before="0" w:after="12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12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09855" cy="175260"/>
                      <wp:effectExtent l="0" t="0" r="0" b="0"/>
                      <wp:wrapNone/>
                      <wp:docPr id="16" name="Frame16"/>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12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120"/>
                              <w:ind w:left="0" w:right="0" w:hanging="0"/>
                              <w:rPr/>
                            </w:pPr>
                            <w:r>
                              <w:rPr/>
                              <w:t>​</w:t>
                            </w:r>
                          </w:p>
                        </w:txbxContent>
                      </v:textbox>
                      <w10:wrap type="none"/>
                    </v:rect>
                  </w:pict>
                </mc:Fallback>
              </mc:AlternateContent>
            </w:r>
          </w:p>
        </w:tc>
        <w:tc>
          <w:tcPr>
            <w:tcW w:w="706"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24155" cy="175260"/>
                      <wp:effectExtent l="0" t="0" r="0" b="0"/>
                      <wp:wrapNone/>
                      <wp:docPr id="17" name="Frame17"/>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Heading"/>
                                    <w:bidi w:val="0"/>
                                    <w:spacing w:before="0" w:after="12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120"/>
                              <w:ind w:left="0" w:right="0" w:hanging="0"/>
                              <w:rPr/>
                            </w:pPr>
                            <w:r>
                              <w:rPr/>
                              <w:t>​</w:t>
                            </w:r>
                          </w:p>
                        </w:txbxContent>
                      </v:textbox>
                      <w10:wrap type="none"/>
                    </v:rect>
                  </w:pict>
                </mc:Fallback>
              </mc:AlternateContent>
            </w:r>
          </w:p>
        </w:tc>
      </w:tr>
      <w:tr>
        <w:trPr/>
        <w:tc>
          <w:tcPr>
            <w:tcW w:w="811" w:type="dxa"/>
            <w:tcBorders/>
            <w:vAlign w:val="center"/>
          </w:tcPr>
          <w:p>
            <w:pPr>
              <w:pStyle w:val="TableHeading"/>
              <w:bidi w:val="0"/>
              <w:spacing w:before="0" w:after="120"/>
              <w:ind w:left="0" w:right="0" w:hanging="0"/>
              <w:jc w:val="left"/>
              <w:rPr/>
            </w:pPr>
            <w:r>
              <w:rPr/>
              <w:t> </w:t>
            </w:r>
          </w:p>
        </w:tc>
        <w:tc>
          <w:tcPr>
            <w:tcW w:w="346" w:type="dxa"/>
            <w:tcBorders/>
            <w:vAlign w:val="center"/>
          </w:tcPr>
          <w:p>
            <w:pPr>
              <w:pStyle w:val="TableHeading"/>
              <w:bidi w:val="0"/>
              <w:spacing w:before="0" w:after="120"/>
              <w:ind w:left="0" w:right="0" w:hanging="0"/>
              <w:jc w:val="left"/>
              <w:rPr/>
            </w:pPr>
            <w:r>
              <w:rPr/>
              <w:t>  ​ ​ ​</w:t>
            </w:r>
          </w:p>
        </w:tc>
        <w:tc>
          <w:tcPr>
            <w:tcW w:w="7366" w:type="dxa"/>
            <w:tcBorders/>
            <w:vAlign w:val="center"/>
          </w:tcPr>
          <w:p>
            <w:pPr>
              <w:pStyle w:val="TableHeading"/>
              <w:bidi w:val="0"/>
              <w:spacing w:before="0" w:after="120"/>
              <w:ind w:left="0" w:right="0" w:hanging="0"/>
              <w:jc w:val="left"/>
              <w:rPr/>
            </w:pPr>
            <w:r>
              <w:rPr/>
              <w:t> </w:t>
            </w:r>
          </w:p>
        </w:tc>
        <w:tc>
          <w:tcPr>
            <w:tcW w:w="346" w:type="dxa"/>
            <w:tcBorders/>
            <w:vAlign w:val="center"/>
          </w:tcPr>
          <w:p>
            <w:pPr>
              <w:pStyle w:val="TableHeading"/>
              <w:bidi w:val="0"/>
              <w:spacing w:before="0" w:after="120"/>
              <w:ind w:left="0" w:right="0" w:hanging="0"/>
              <w:jc w:val="left"/>
              <w:rPr/>
            </w:pPr>
            <w:r>
              <w:rPr/>
              <w:t>  ​ ​ ​</w:t>
            </w:r>
          </w:p>
        </w:tc>
        <w:tc>
          <w:tcPr>
            <w:tcW w:w="706" w:type="dxa"/>
            <w:gridSpan w:val="2"/>
            <w:tcBorders>
              <w:bottom w:val="single" w:sz="8"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val="false"/>
                <w:sz w:val="16"/>
              </w:rPr>
            </w:pPr>
            <w:r>
              <w:rPr>
                <w:rFonts w:ascii="Times New Roman;Times;serif" w:hAnsi="Times New Roman;Times;serif"/>
                <w:b/>
                <w:sz w:val="16"/>
              </w:rPr>
              <w:t>Page</w:t>
            </w:r>
            <w:r>
              <w:rPr>
                <w:rFonts w:ascii="Times New Roman;Times;serif" w:hAnsi="Times New Roman;Times;serif"/>
                <w:b w:val="false"/>
                <w:sz w:val="16"/>
              </w:rPr>
              <w:br/>
            </w:r>
            <w:r>
              <w:rPr>
                <w:rFonts w:ascii="Times New Roman;Times;serif" w:hAnsi="Times New Roman;Times;serif"/>
                <w:b/>
                <w:sz w:val="16"/>
              </w:rPr>
              <w:t>number</w:t>
            </w:r>
          </w:p>
        </w:tc>
      </w:tr>
      <w:tr>
        <w:trPr/>
        <w:tc>
          <w:tcPr>
            <w:tcW w:w="811" w:type="dxa"/>
            <w:tcBorders/>
            <w:vAlign w:val="center"/>
          </w:tcPr>
          <w:p>
            <w:pPr>
              <w:pStyle w:val="TableContents"/>
              <w:pBdr/>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346" w:type="dxa"/>
            <w:tcBorders/>
            <w:vAlign w:val="center"/>
          </w:tcPr>
          <w:p>
            <w:pPr>
              <w:pStyle w:val="TableContents"/>
              <w:bidi w:val="0"/>
              <w:spacing w:before="0" w:after="120"/>
              <w:ind w:left="0" w:right="0" w:hanging="0"/>
              <w:jc w:val="left"/>
              <w:rPr/>
            </w:pPr>
            <w:r>
              <w:rPr/>
              <w:t>​</w:t>
            </w:r>
          </w:p>
        </w:tc>
        <w:tc>
          <w:tcPr>
            <w:tcW w:w="7366" w:type="dxa"/>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346" w:type="dxa"/>
            <w:tcBorders/>
            <w:vAlign w:val="center"/>
          </w:tcPr>
          <w:p>
            <w:pPr>
              <w:pStyle w:val="TableContents"/>
              <w:bidi w:val="0"/>
              <w:spacing w:before="0" w:after="120"/>
              <w:ind w:left="0" w:right="0" w:hanging="0"/>
              <w:jc w:val="left"/>
              <w:rPr/>
            </w:pPr>
            <w:r>
              <w:rPr/>
              <w:t>​</w:t>
            </w:r>
          </w:p>
        </w:tc>
        <w:tc>
          <w:tcPr>
            <w:tcW w:w="706" w:type="dxa"/>
            <w:gridSpan w:val="2"/>
            <w:tcBorders/>
            <w:vAlign w:val="center"/>
          </w:tcPr>
          <w:p>
            <w:pPr>
              <w:pStyle w:val="TableContents"/>
              <w:bidi w:val="0"/>
              <w:spacing w:before="0" w:after="120"/>
              <w:ind w:left="0" w:right="0" w:hanging="0"/>
              <w:jc w:val="left"/>
              <w:rPr/>
            </w:pPr>
            <w:r>
              <w:rPr/>
              <w:t> </w:t>
            </w:r>
          </w:p>
        </w:tc>
      </w:tr>
      <w:tr>
        <w:trPr/>
        <w:tc>
          <w:tcPr>
            <w:tcW w:w="811" w:type="dxa"/>
            <w:tcBorders/>
            <w:vAlign w:val="center"/>
          </w:tcPr>
          <w:p>
            <w:pPr>
              <w:pStyle w:val="TableContents"/>
              <w:bidi w:val="0"/>
              <w:spacing w:before="0" w:after="120"/>
              <w:ind w:left="0" w:right="0" w:hanging="0"/>
              <w:jc w:val="left"/>
              <w:rPr/>
            </w:pPr>
            <w:r>
              <w:rPr/>
              <w:t>​</w:t>
            </w:r>
          </w:p>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Item 1.</w:t>
            </w:r>
          </w:p>
        </w:tc>
        <w:tc>
          <w:tcPr>
            <w:tcW w:w="346" w:type="dxa"/>
            <w:tcBorders/>
            <w:vAlign w:val="center"/>
          </w:tcPr>
          <w:p>
            <w:pPr>
              <w:pStyle w:val="TableContents"/>
              <w:bidi w:val="0"/>
              <w:spacing w:before="0" w:after="120"/>
              <w:ind w:left="0" w:right="0" w:hanging="0"/>
              <w:jc w:val="left"/>
              <w:rPr/>
            </w:pPr>
            <w:r>
              <w:rPr/>
              <w:t>​</w:t>
            </w:r>
          </w:p>
        </w:tc>
        <w:tc>
          <w:tcPr>
            <w:tcW w:w="7366"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346" w:type="dxa"/>
            <w:tcBorders/>
            <w:vAlign w:val="center"/>
          </w:tcPr>
          <w:p>
            <w:pPr>
              <w:pStyle w:val="TableContents"/>
              <w:bidi w:val="0"/>
              <w:spacing w:before="0" w:after="120"/>
              <w:ind w:left="0" w:right="0" w:hanging="0"/>
              <w:jc w:val="left"/>
              <w:rPr/>
            </w:pPr>
            <w:r>
              <w:rPr/>
              <w:t>​</w:t>
            </w:r>
          </w:p>
        </w:tc>
        <w:tc>
          <w:tcPr>
            <w:tcW w:w="706" w:type="dxa"/>
            <w:gridSpan w:val="2"/>
            <w:tcBorders/>
            <w:vAlign w:val="center"/>
          </w:tcPr>
          <w:p>
            <w:pPr>
              <w:pStyle w:val="TableContents"/>
              <w:bidi w:val="0"/>
              <w:spacing w:before="0" w:after="120"/>
              <w:ind w:left="0" w:right="0" w:hanging="0"/>
              <w:jc w:val="left"/>
              <w:rPr/>
            </w:pPr>
            <w:r>
              <w:rPr/>
              <w:t> </w:t>
            </w:r>
          </w:p>
        </w:tc>
      </w:tr>
      <w:tr>
        <w:trPr/>
        <w:tc>
          <w:tcPr>
            <w:tcW w:w="81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7366" w:type="dxa"/>
            <w:tcBorders/>
            <w:vAlign w:val="center"/>
          </w:tcPr>
          <w:p>
            <w:pPr>
              <w:pStyle w:val="TableContents"/>
              <w:bidi w:val="0"/>
              <w:spacing w:before="0" w:after="120"/>
              <w:ind w:left="0" w:right="0" w:hanging="0"/>
              <w:jc w:val="left"/>
              <w:rPr/>
            </w:pPr>
            <w:hyperlink w:anchor="CONDENSEDCONSOLIDATEDBALANCESHEETS_35349">
              <w:r>
                <w:rPr>
                  <w:rStyle w:val="InternetLink"/>
                  <w:rFonts w:ascii="Times New Roman;Times;serif" w:hAnsi="Times New Roman;Times;serif"/>
                  <w:b w:val="false"/>
                  <w:i w:val="false"/>
                  <w:caps w:val="false"/>
                  <w:smallCaps w:val="false"/>
                  <w:sz w:val="20"/>
                </w:rPr>
                <w:t>Condensed Consolidated Balance Sheets (unaudited) -</w:t>
                <w:br/>
              </w:r>
            </w:hyperlink>
            <w:hyperlink w:anchor="CONDENSEDCONSOLIDATEDBALANCESHEETS_35349">
              <w:r>
                <w:rPr>
                  <w:rStyle w:val="InternetLink"/>
                  <w:rFonts w:ascii="Times New Roman;Times;serif" w:hAnsi="Times New Roman;Times;serif"/>
                  <w:caps w:val="false"/>
                  <w:smallCaps w:val="false"/>
                  <w:sz w:val="20"/>
                </w:rPr>
                <w:t>   </w:t>
              </w:r>
            </w:hyperlink>
            <w:hyperlink w:anchor="CONDENSEDCONSOLIDATEDBALANCESHEETS_35349">
              <w:r>
                <w:rPr>
                  <w:rStyle w:val="InternetLink"/>
                  <w:rFonts w:ascii="Times New Roman;Times;serif" w:hAnsi="Times New Roman;Times;serif"/>
                  <w:b w:val="false"/>
                  <w:i w:val="false"/>
                  <w:caps w:val="false"/>
                  <w:smallCaps w:val="false"/>
                  <w:sz w:val="20"/>
                </w:rPr>
                <w:t xml:space="preserve">December 31, 2025 and June 30, 2026 </w:t>
              </w:r>
            </w:hyperlink>
          </w:p>
        </w:tc>
        <w:tc>
          <w:tcPr>
            <w:tcW w:w="346" w:type="dxa"/>
            <w:tcBorders/>
            <w:vAlign w:val="center"/>
          </w:tcPr>
          <w:p>
            <w:pPr>
              <w:pStyle w:val="TableContents"/>
              <w:bidi w:val="0"/>
              <w:spacing w:before="0" w:after="120"/>
              <w:ind w:left="0" w:right="0" w:hanging="0"/>
              <w:jc w:val="left"/>
              <w:rPr/>
            </w:pPr>
            <w:r>
              <w:rPr/>
              <w:t>​</w:t>
            </w:r>
          </w:p>
        </w:tc>
        <w:tc>
          <w:tcPr>
            <w:tcW w:w="706" w:type="dxa"/>
            <w:gridSpan w:val="2"/>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7366" w:type="dxa"/>
            <w:tcBorders/>
            <w:vAlign w:val="center"/>
          </w:tcPr>
          <w:p>
            <w:pPr>
              <w:pStyle w:val="TableContents"/>
              <w:bidi w:val="0"/>
              <w:spacing w:before="0" w:after="120"/>
              <w:ind w:left="0" w:right="0" w:hanging="0"/>
              <w:jc w:val="left"/>
              <w:rPr/>
            </w:pPr>
            <w:hyperlink w:anchor="CONDENSEDCONSOLIDATEDSTATEMENTSOFINCOME_">
              <w:r>
                <w:rPr>
                  <w:rStyle w:val="InternetLink"/>
                  <w:rFonts w:ascii="Times New Roman;Times;serif" w:hAnsi="Times New Roman;Times;serif"/>
                  <w:b w:val="false"/>
                  <w:i w:val="false"/>
                  <w:caps w:val="false"/>
                  <w:smallCaps w:val="false"/>
                  <w:sz w:val="20"/>
                </w:rPr>
                <w:t>Condensed Consolidated Statements of Operations (unaudited) -</w:t>
                <w:br/>
              </w:r>
            </w:hyperlink>
            <w:hyperlink w:anchor="CONDENSEDCONSOLIDATEDSTATEMENTSOFINCOME_">
              <w:r>
                <w:rPr>
                  <w:rStyle w:val="InternetLink"/>
                  <w:rFonts w:ascii="Times New Roman;Times;serif" w:hAnsi="Times New Roman;Times;serif"/>
                  <w:caps w:val="false"/>
                  <w:smallCaps w:val="false"/>
                  <w:sz w:val="20"/>
                </w:rPr>
                <w:t>   </w:t>
              </w:r>
            </w:hyperlink>
            <w:hyperlink w:anchor="CONDENSEDCONSOLIDATEDSTATEMENTSOFINCOME_">
              <w:r>
                <w:rPr>
                  <w:rStyle w:val="InternetLink"/>
                  <w:rFonts w:ascii="Times New Roman;Times;serif" w:hAnsi="Times New Roman;Times;serif"/>
                  <w:b w:val="false"/>
                  <w:i w:val="false"/>
                  <w:caps w:val="false"/>
                  <w:smallCaps w:val="false"/>
                  <w:sz w:val="20"/>
                </w:rPr>
                <w:t>Three and six months ended June 30, 2025 and 2026</w:t>
              </w:r>
            </w:hyperlink>
          </w:p>
        </w:tc>
        <w:tc>
          <w:tcPr>
            <w:tcW w:w="346" w:type="dxa"/>
            <w:tcBorders/>
            <w:vAlign w:val="center"/>
          </w:tcPr>
          <w:p>
            <w:pPr>
              <w:pStyle w:val="TableContents"/>
              <w:bidi w:val="0"/>
              <w:spacing w:before="0" w:after="120"/>
              <w:ind w:left="0" w:right="0" w:hanging="0"/>
              <w:jc w:val="left"/>
              <w:rPr/>
            </w:pPr>
            <w:r>
              <w:rPr/>
              <w:t>​</w:t>
            </w:r>
          </w:p>
        </w:tc>
        <w:tc>
          <w:tcPr>
            <w:tcW w:w="706" w:type="dxa"/>
            <w:gridSpan w:val="2"/>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7366" w:type="dxa"/>
            <w:tcBorders/>
            <w:vAlign w:val="center"/>
          </w:tcPr>
          <w:p>
            <w:pPr>
              <w:pStyle w:val="TableContents"/>
              <w:bidi w:val="0"/>
              <w:spacing w:before="0" w:after="120"/>
              <w:ind w:left="0" w:right="0" w:hanging="0"/>
              <w:jc w:val="left"/>
              <w:rPr/>
            </w:pPr>
            <w:hyperlink w:anchor="CONDENSEDCONSOLIDATEDSTMTSCOMPREINC">
              <w:r>
                <w:rPr>
                  <w:rStyle w:val="InternetLink"/>
                  <w:rFonts w:ascii="Times New Roman;Times;serif" w:hAnsi="Times New Roman;Times;serif"/>
                  <w:b w:val="false"/>
                  <w:i w:val="false"/>
                  <w:caps w:val="false"/>
                  <w:smallCaps w:val="false"/>
                  <w:sz w:val="20"/>
                </w:rPr>
                <w:t xml:space="preserve">Condensed Consolidated Statements of Comprehensive Income (unaudited) - </w:t>
                <w:br/>
              </w:r>
            </w:hyperlink>
            <w:hyperlink w:anchor="CONDENSEDCONSOLIDATEDSTMTSCOMPREINC">
              <w:r>
                <w:rPr>
                  <w:rStyle w:val="InternetLink"/>
                  <w:rFonts w:ascii="Times New Roman;Times;serif" w:hAnsi="Times New Roman;Times;serif"/>
                  <w:caps w:val="false"/>
                  <w:smallCaps w:val="false"/>
                  <w:sz w:val="20"/>
                </w:rPr>
                <w:t>   </w:t>
              </w:r>
            </w:hyperlink>
            <w:hyperlink w:anchor="CONDENSEDCONSOLIDATEDSTMTSCOMPREINC">
              <w:r>
                <w:rPr>
                  <w:rStyle w:val="InternetLink"/>
                  <w:rFonts w:ascii="Times New Roman;Times;serif" w:hAnsi="Times New Roman;Times;serif"/>
                  <w:b w:val="false"/>
                  <w:i w:val="false"/>
                  <w:caps w:val="false"/>
                  <w:smallCaps w:val="false"/>
                  <w:sz w:val="20"/>
                </w:rPr>
                <w:t>Three and six months ended June 30, 2025 and 2026</w:t>
              </w:r>
            </w:hyperlink>
          </w:p>
        </w:tc>
        <w:tc>
          <w:tcPr>
            <w:tcW w:w="346" w:type="dxa"/>
            <w:tcBorders/>
            <w:vAlign w:val="center"/>
          </w:tcPr>
          <w:p>
            <w:pPr>
              <w:pStyle w:val="TableContents"/>
              <w:bidi w:val="0"/>
              <w:spacing w:before="0" w:after="120"/>
              <w:ind w:left="0" w:right="0" w:hanging="0"/>
              <w:jc w:val="left"/>
              <w:rPr/>
            </w:pPr>
            <w:r>
              <w:rPr/>
              <w:t>​</w:t>
            </w:r>
          </w:p>
        </w:tc>
        <w:tc>
          <w:tcPr>
            <w:tcW w:w="706" w:type="dxa"/>
            <w:gridSpan w:val="2"/>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7366" w:type="dxa"/>
            <w:tcBorders/>
            <w:vAlign w:val="center"/>
          </w:tcPr>
          <w:p>
            <w:pPr>
              <w:pStyle w:val="TableContents"/>
              <w:bidi w:val="0"/>
              <w:spacing w:before="0" w:after="12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 xml:space="preserve">Condensed Consolidated Statements of Stockholders’ Equity (unaudited) - </w:t>
                <w:br/>
              </w:r>
            </w:hyperlink>
            <w:hyperlink w:anchor="CONDENSEDCONSOLIDATEDSTATEMENTSOFSTOCKHO">
              <w:r>
                <w:rPr>
                  <w:rStyle w:val="InternetLink"/>
                  <w:rFonts w:ascii="Times New Roman;Times;serif" w:hAnsi="Times New Roman;Times;serif"/>
                  <w:caps w:val="false"/>
                  <w:smallCaps w:val="false"/>
                  <w:sz w:val="20"/>
                </w:rPr>
                <w:t>   </w:t>
              </w:r>
            </w:hyperlink>
            <w:hyperlink w:anchor="CONDENSEDCONSOLIDATEDSTATEMENTSOFSTOCKHO">
              <w:r>
                <w:rPr>
                  <w:rStyle w:val="InternetLink"/>
                  <w:rFonts w:ascii="Times New Roman;Times;serif" w:hAnsi="Times New Roman;Times;serif"/>
                  <w:b w:val="false"/>
                  <w:i w:val="false"/>
                  <w:caps w:val="false"/>
                  <w:smallCaps w:val="false"/>
                  <w:sz w:val="20"/>
                </w:rPr>
                <w:t>Three and six months ended June 30, 2025 and 2026</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120"/>
              <w:ind w:left="0" w:right="0" w:hanging="0"/>
              <w:jc w:val="left"/>
              <w:rPr/>
            </w:pPr>
            <w:r>
              <w:rPr/>
              <w:t>​</w:t>
            </w:r>
          </w:p>
        </w:tc>
        <w:tc>
          <w:tcPr>
            <w:tcW w:w="706" w:type="dxa"/>
            <w:gridSpan w:val="2"/>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7366" w:type="dxa"/>
            <w:tcBorders/>
            <w:vAlign w:val="center"/>
          </w:tcPr>
          <w:p>
            <w:pPr>
              <w:pStyle w:val="TableContents"/>
              <w:pBdr/>
              <w:bidi w:val="0"/>
              <w:spacing w:before="0" w:after="120"/>
              <w:ind w:left="0" w:right="0" w:hanging="0"/>
              <w:jc w:val="left"/>
              <w:rPr/>
            </w:pPr>
            <w:hyperlink w:anchor="CASHFLOWS_797268">
              <w:r>
                <w:rPr>
                  <w:rStyle w:val="InternetLink"/>
                  <w:rFonts w:ascii="Times New Roman;Times;serif" w:hAnsi="Times New Roman;Times;serif"/>
                  <w:b w:val="false"/>
                  <w:i w:val="false"/>
                  <w:caps w:val="false"/>
                  <w:smallCaps w:val="false"/>
                  <w:sz w:val="20"/>
                </w:rPr>
                <w:t xml:space="preserve">Condensed Consolidated Statements of Cash Flows (unaudited) - </w:t>
                <w:br/>
              </w:r>
            </w:hyperlink>
            <w:hyperlink w:anchor="CASHFLOWS_797268">
              <w:r>
                <w:rPr>
                  <w:rStyle w:val="InternetLink"/>
                  <w:rFonts w:ascii="Times New Roman;Times;serif" w:hAnsi="Times New Roman;Times;serif"/>
                  <w:caps w:val="false"/>
                  <w:smallCaps w:val="false"/>
                  <w:sz w:val="20"/>
                </w:rPr>
                <w:t>  </w:t>
              </w:r>
            </w:hyperlink>
            <w:hyperlink w:anchor="CASHFLOWS_797268">
              <w:r>
                <w:rPr>
                  <w:rStyle w:val="InternetLink"/>
                  <w:rFonts w:ascii="Times New Roman;Times;serif" w:hAnsi="Times New Roman;Times;serif"/>
                  <w:b w:val="false"/>
                  <w:i w:val="false"/>
                  <w:caps w:val="false"/>
                  <w:smallCaps w:val="false"/>
                  <w:sz w:val="20"/>
                </w:rPr>
                <w:t>Six months ended June 30, 2025 and 2026</w:t>
              </w:r>
            </w:hyperlink>
          </w:p>
        </w:tc>
        <w:tc>
          <w:tcPr>
            <w:tcW w:w="346" w:type="dxa"/>
            <w:tcBorders/>
            <w:vAlign w:val="center"/>
          </w:tcPr>
          <w:p>
            <w:pPr>
              <w:pStyle w:val="TableContents"/>
              <w:bidi w:val="0"/>
              <w:spacing w:before="0" w:after="120"/>
              <w:ind w:left="0" w:right="0" w:hanging="0"/>
              <w:jc w:val="left"/>
              <w:rPr/>
            </w:pPr>
            <w:r>
              <w:rPr/>
              <w:t>​</w:t>
            </w:r>
          </w:p>
        </w:tc>
        <w:tc>
          <w:tcPr>
            <w:tcW w:w="706" w:type="dxa"/>
            <w:gridSpan w:val="2"/>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7366" w:type="dxa"/>
            <w:tcBorders/>
            <w:vAlign w:val="center"/>
          </w:tcPr>
          <w:p>
            <w:pPr>
              <w:pStyle w:val="TableContents"/>
              <w:pBdr/>
              <w:bidi w:val="0"/>
              <w:spacing w:before="0" w:after="12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346" w:type="dxa"/>
            <w:tcBorders/>
            <w:vAlign w:val="center"/>
          </w:tcPr>
          <w:p>
            <w:pPr>
              <w:pStyle w:val="TableContents"/>
              <w:bidi w:val="0"/>
              <w:spacing w:before="0" w:after="120"/>
              <w:ind w:left="0" w:right="0" w:hanging="0"/>
              <w:jc w:val="left"/>
              <w:rPr/>
            </w:pPr>
            <w:r>
              <w:rPr/>
              <w:t>​</w:t>
            </w:r>
          </w:p>
        </w:tc>
        <w:tc>
          <w:tcPr>
            <w:tcW w:w="706" w:type="dxa"/>
            <w:gridSpan w:val="2"/>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11" w:type="dxa"/>
            <w:tcBorders/>
            <w:vAlign w:val="center"/>
          </w:tcPr>
          <w:p>
            <w:pPr>
              <w:pStyle w:val="TableContents"/>
              <w:pBdr/>
              <w:bidi w:val="0"/>
              <w:spacing w:before="0" w:after="12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120"/>
              <w:ind w:left="0" w:right="0" w:hanging="0"/>
              <w:jc w:val="left"/>
              <w:rPr/>
            </w:pPr>
            <w:r>
              <w:rPr/>
              <w:t>​</w:t>
            </w:r>
          </w:p>
        </w:tc>
        <w:tc>
          <w:tcPr>
            <w:tcW w:w="7366" w:type="dxa"/>
            <w:tcBorders/>
            <w:vAlign w:val="center"/>
          </w:tcPr>
          <w:p>
            <w:pPr>
              <w:pStyle w:val="TableContents"/>
              <w:pBdr/>
              <w:bidi w:val="0"/>
              <w:spacing w:before="0" w:after="12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88" w:type="dxa"/>
            <w:gridSpan w:val="2"/>
            <w:tcBorders/>
            <w:vAlign w:val="center"/>
          </w:tcPr>
          <w:p>
            <w:pPr>
              <w:pStyle w:val="TableContents"/>
              <w:bidi w:val="0"/>
              <w:spacing w:before="0" w:after="120"/>
              <w:ind w:left="0" w:right="0" w:hanging="0"/>
              <w:jc w:val="left"/>
              <w:rPr/>
            </w:pPr>
            <w:r>
              <w:rPr/>
              <w:t>​</w:t>
            </w:r>
          </w:p>
        </w:tc>
        <w:tc>
          <w:tcPr>
            <w:tcW w:w="664"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811" w:type="dxa"/>
            <w:tcBorders/>
            <w:vAlign w:val="center"/>
          </w:tcPr>
          <w:p>
            <w:pPr>
              <w:pStyle w:val="TableContents"/>
              <w:pBdr/>
              <w:bidi w:val="0"/>
              <w:spacing w:before="0" w:after="12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120"/>
              <w:ind w:left="0" w:right="0" w:hanging="0"/>
              <w:jc w:val="left"/>
              <w:rPr/>
            </w:pPr>
            <w:r>
              <w:rPr/>
              <w:t>​</w:t>
            </w:r>
          </w:p>
        </w:tc>
        <w:tc>
          <w:tcPr>
            <w:tcW w:w="7366" w:type="dxa"/>
            <w:tcBorders/>
            <w:vAlign w:val="center"/>
          </w:tcPr>
          <w:p>
            <w:pPr>
              <w:pStyle w:val="TableContents"/>
              <w:pBdr/>
              <w:bidi w:val="0"/>
              <w:spacing w:before="0" w:after="12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 About Market Risk</w:t>
              </w:r>
            </w:hyperlink>
          </w:p>
        </w:tc>
        <w:tc>
          <w:tcPr>
            <w:tcW w:w="388" w:type="dxa"/>
            <w:gridSpan w:val="2"/>
            <w:tcBorders/>
            <w:vAlign w:val="center"/>
          </w:tcPr>
          <w:p>
            <w:pPr>
              <w:pStyle w:val="TableContents"/>
              <w:bidi w:val="0"/>
              <w:spacing w:before="0" w:after="120"/>
              <w:ind w:left="0" w:right="0" w:hanging="0"/>
              <w:jc w:val="left"/>
              <w:rPr/>
            </w:pPr>
            <w:r>
              <w:rPr/>
              <w:t>​</w:t>
            </w:r>
          </w:p>
        </w:tc>
        <w:tc>
          <w:tcPr>
            <w:tcW w:w="664"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pBdr/>
              <w:bidi w:val="0"/>
              <w:spacing w:before="0" w:after="120"/>
              <w:ind w:left="0" w:right="0" w:hanging="0"/>
              <w:jc w:val="left"/>
              <w:rPr/>
            </w:pPr>
            <w:hyperlink w:anchor="ITEM4CONTROLSANDPROCEDURES_824804">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120"/>
              <w:ind w:left="0" w:right="0" w:hanging="0"/>
              <w:jc w:val="left"/>
              <w:rPr/>
            </w:pPr>
            <w:r>
              <w:rPr/>
              <w:t>​</w:t>
            </w:r>
          </w:p>
        </w:tc>
        <w:tc>
          <w:tcPr>
            <w:tcW w:w="7366" w:type="dxa"/>
            <w:tcBorders/>
            <w:vAlign w:val="center"/>
          </w:tcPr>
          <w:p>
            <w:pPr>
              <w:pStyle w:val="TableContents"/>
              <w:pBdr/>
              <w:bidi w:val="0"/>
              <w:spacing w:before="0" w:after="120"/>
              <w:ind w:left="0" w:right="0" w:hanging="0"/>
              <w:jc w:val="left"/>
              <w:rPr/>
            </w:pPr>
            <w:hyperlink w:anchor="ITEM4CONTROLSANDPROCEDURES_824804">
              <w:r>
                <w:rPr>
                  <w:rStyle w:val="InternetLink"/>
                  <w:rFonts w:ascii="Times New Roman;Times;serif" w:hAnsi="Times New Roman;Times;serif"/>
                  <w:b w:val="false"/>
                  <w:i w:val="false"/>
                  <w:caps w:val="false"/>
                  <w:smallCaps w:val="false"/>
                  <w:sz w:val="20"/>
                </w:rPr>
                <w:t>Controls and Procedures</w:t>
              </w:r>
            </w:hyperlink>
          </w:p>
        </w:tc>
        <w:tc>
          <w:tcPr>
            <w:tcW w:w="388" w:type="dxa"/>
            <w:gridSpan w:val="2"/>
            <w:tcBorders/>
            <w:vAlign w:val="center"/>
          </w:tcPr>
          <w:p>
            <w:pPr>
              <w:pStyle w:val="TableContents"/>
              <w:bidi w:val="0"/>
              <w:spacing w:before="0" w:after="120"/>
              <w:ind w:left="0" w:right="0" w:hanging="0"/>
              <w:jc w:val="left"/>
              <w:rPr/>
            </w:pPr>
            <w:r>
              <w:rPr/>
              <w:t>​</w:t>
            </w:r>
          </w:p>
        </w:tc>
        <w:tc>
          <w:tcPr>
            <w:tcW w:w="664"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pBdr/>
              <w:bidi w:val="0"/>
              <w:spacing w:before="0" w:after="120"/>
              <w:ind w:left="0" w:right="0" w:hanging="0"/>
              <w:jc w:val="left"/>
              <w:rPr/>
            </w:pPr>
            <w:hyperlink w:anchor="PartIIOTHERINFORMATION_304115">
              <w:r>
                <w:rPr>
                  <w:rStyle w:val="InternetLink"/>
                  <w:rFonts w:ascii="Times New Roman;Times;serif" w:hAnsi="Times New Roman;Times;serif"/>
                  <w:b/>
                  <w:i w:val="false"/>
                  <w:caps w:val="false"/>
                  <w:smallCaps w:val="false"/>
                  <w:sz w:val="20"/>
                </w:rPr>
                <w:t>Part II.</w:t>
              </w:r>
            </w:hyperlink>
          </w:p>
        </w:tc>
        <w:tc>
          <w:tcPr>
            <w:tcW w:w="346" w:type="dxa"/>
            <w:tcBorders/>
            <w:vAlign w:val="center"/>
          </w:tcPr>
          <w:p>
            <w:pPr>
              <w:pStyle w:val="TableContents"/>
              <w:bidi w:val="0"/>
              <w:spacing w:before="0" w:after="120"/>
              <w:ind w:left="0" w:right="0" w:hanging="0"/>
              <w:jc w:val="left"/>
              <w:rPr/>
            </w:pPr>
            <w:r>
              <w:rPr/>
              <w:t>​</w:t>
            </w:r>
          </w:p>
        </w:tc>
        <w:tc>
          <w:tcPr>
            <w:tcW w:w="7366" w:type="dxa"/>
            <w:tcBorders/>
            <w:vAlign w:val="center"/>
          </w:tcPr>
          <w:p>
            <w:pPr>
              <w:pStyle w:val="TableContents"/>
              <w:bidi w:val="0"/>
              <w:spacing w:before="0" w:after="120"/>
              <w:ind w:left="0" w:right="0" w:hanging="0"/>
              <w:jc w:val="left"/>
              <w:rPr/>
            </w:pPr>
            <w:hyperlink w:anchor="PartIIOTHERINFORMATION_304115">
              <w:r>
                <w:rPr>
                  <w:rStyle w:val="InternetLink"/>
                  <w:rFonts w:ascii="Times New Roman;Times;serif" w:hAnsi="Times New Roman;Times;serif"/>
                  <w:b/>
                  <w:i w:val="false"/>
                  <w:caps w:val="false"/>
                  <w:smallCaps w:val="false"/>
                  <w:sz w:val="20"/>
                </w:rPr>
                <w:t>OTHER INFORMATION</w:t>
              </w:r>
            </w:hyperlink>
          </w:p>
        </w:tc>
        <w:tc>
          <w:tcPr>
            <w:tcW w:w="388" w:type="dxa"/>
            <w:gridSpan w:val="2"/>
            <w:tcBorders/>
            <w:vAlign w:val="center"/>
          </w:tcPr>
          <w:p>
            <w:pPr>
              <w:pStyle w:val="TableContents"/>
              <w:bidi w:val="0"/>
              <w:spacing w:before="0" w:after="120"/>
              <w:ind w:left="0" w:right="0" w:hanging="0"/>
              <w:jc w:val="left"/>
              <w:rPr/>
            </w:pPr>
            <w:r>
              <w:rPr/>
              <w:t>​</w:t>
            </w:r>
          </w:p>
        </w:tc>
        <w:tc>
          <w:tcPr>
            <w:tcW w:w="664" w:type="dxa"/>
            <w:tcBorders/>
            <w:vAlign w:val="center"/>
          </w:tcPr>
          <w:p>
            <w:pPr>
              <w:pStyle w:val="TableContents"/>
              <w:bidi w:val="0"/>
              <w:spacing w:before="0" w:after="120"/>
              <w:ind w:left="0" w:right="0" w:hanging="0"/>
              <w:jc w:val="right"/>
              <w:rPr/>
            </w:pPr>
            <w:r>
              <w:rPr/>
              <w:t>​</w:t>
            </w:r>
          </w:p>
        </w:tc>
      </w:tr>
      <w:tr>
        <w:trPr/>
        <w:tc>
          <w:tcPr>
            <w:tcW w:w="811" w:type="dxa"/>
            <w:tcBorders/>
            <w:vAlign w:val="center"/>
          </w:tcPr>
          <w:p>
            <w:pPr>
              <w:pStyle w:val="TableContents"/>
              <w:pBdr/>
              <w:bidi w:val="0"/>
              <w:spacing w:before="0" w:after="120"/>
              <w:ind w:left="0" w:right="0" w:hanging="0"/>
              <w:jc w:val="left"/>
              <w:rPr/>
            </w:pPr>
            <w:hyperlink w:anchor="Item1ARiskFactors_453232">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before="0" w:after="120"/>
              <w:ind w:left="0" w:right="0" w:hanging="0"/>
              <w:jc w:val="left"/>
              <w:rPr/>
            </w:pPr>
            <w:r>
              <w:rPr/>
              <w:t>​</w:t>
            </w:r>
          </w:p>
        </w:tc>
        <w:tc>
          <w:tcPr>
            <w:tcW w:w="7366" w:type="dxa"/>
            <w:tcBorders/>
            <w:vAlign w:val="center"/>
          </w:tcPr>
          <w:p>
            <w:pPr>
              <w:pStyle w:val="TableContents"/>
              <w:pBdr/>
              <w:bidi w:val="0"/>
              <w:spacing w:before="0" w:after="120"/>
              <w:ind w:left="0" w:right="0" w:hanging="0"/>
              <w:jc w:val="left"/>
              <w:rPr/>
            </w:pPr>
            <w:hyperlink w:anchor="Item1ARiskFactors_453232">
              <w:r>
                <w:rPr>
                  <w:rStyle w:val="InternetLink"/>
                  <w:rFonts w:ascii="Times New Roman;Times;serif" w:hAnsi="Times New Roman;Times;serif"/>
                  <w:b w:val="false"/>
                  <w:i w:val="false"/>
                  <w:caps w:val="false"/>
                  <w:smallCaps w:val="false"/>
                  <w:sz w:val="20"/>
                </w:rPr>
                <w:t>Risk Factors</w:t>
              </w:r>
            </w:hyperlink>
          </w:p>
        </w:tc>
        <w:tc>
          <w:tcPr>
            <w:tcW w:w="388" w:type="dxa"/>
            <w:gridSpan w:val="2"/>
            <w:tcBorders/>
            <w:vAlign w:val="center"/>
          </w:tcPr>
          <w:p>
            <w:pPr>
              <w:pStyle w:val="TableContents"/>
              <w:bidi w:val="0"/>
              <w:spacing w:before="0" w:after="120"/>
              <w:ind w:left="0" w:right="0" w:hanging="0"/>
              <w:jc w:val="left"/>
              <w:rPr/>
            </w:pPr>
            <w:r>
              <w:rPr/>
              <w:t>​</w:t>
            </w:r>
          </w:p>
        </w:tc>
        <w:tc>
          <w:tcPr>
            <w:tcW w:w="664"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pBdr/>
              <w:bidi w:val="0"/>
              <w:spacing w:before="0" w:after="120"/>
              <w:ind w:left="0" w:right="0" w:hanging="0"/>
              <w:jc w:val="left"/>
              <w:rPr/>
            </w:pPr>
            <w:hyperlink w:anchor="_Item_6._Exhibits">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before="0" w:after="120"/>
              <w:ind w:left="0" w:right="0" w:hanging="0"/>
              <w:jc w:val="left"/>
              <w:rPr/>
            </w:pPr>
            <w:r>
              <w:rPr/>
              <w:t>​</w:t>
            </w:r>
          </w:p>
        </w:tc>
        <w:tc>
          <w:tcPr>
            <w:tcW w:w="7366" w:type="dxa"/>
            <w:tcBorders/>
            <w:vAlign w:val="center"/>
          </w:tcPr>
          <w:p>
            <w:pPr>
              <w:pStyle w:val="TableContents"/>
              <w:pBdr/>
              <w:bidi w:val="0"/>
              <w:spacing w:before="0" w:after="120"/>
              <w:ind w:left="0" w:right="0" w:hanging="0"/>
              <w:jc w:val="left"/>
              <w:rPr/>
            </w:pPr>
            <w:hyperlink w:anchor="_Item_6._Exhibits">
              <w:r>
                <w:rPr>
                  <w:rStyle w:val="InternetLink"/>
                  <w:rFonts w:ascii="Times New Roman;Times;serif" w:hAnsi="Times New Roman;Times;serif"/>
                  <w:b w:val="false"/>
                  <w:i w:val="false"/>
                  <w:caps w:val="false"/>
                  <w:smallCaps w:val="false"/>
                  <w:sz w:val="20"/>
                </w:rPr>
                <w:t>Exhibits</w:t>
              </w:r>
            </w:hyperlink>
          </w:p>
        </w:tc>
        <w:tc>
          <w:tcPr>
            <w:tcW w:w="388" w:type="dxa"/>
            <w:gridSpan w:val="2"/>
            <w:tcBorders/>
            <w:vAlign w:val="center"/>
          </w:tcPr>
          <w:p>
            <w:pPr>
              <w:pStyle w:val="TableContents"/>
              <w:bidi w:val="0"/>
              <w:spacing w:before="0" w:after="120"/>
              <w:ind w:left="0" w:right="0" w:hanging="0"/>
              <w:jc w:val="left"/>
              <w:rPr/>
            </w:pPr>
            <w:r>
              <w:rPr/>
              <w:t>​</w:t>
            </w:r>
          </w:p>
        </w:tc>
        <w:tc>
          <w:tcPr>
            <w:tcW w:w="664"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523" w:type="dxa"/>
            <w:gridSpan w:val="3"/>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Items 2, 3, 4 and 5 of Part II are omitted because there is no information to report.</w:t>
            </w:r>
          </w:p>
        </w:tc>
        <w:tc>
          <w:tcPr>
            <w:tcW w:w="346" w:type="dxa"/>
            <w:tcBorders/>
            <w:vAlign w:val="center"/>
          </w:tcPr>
          <w:p>
            <w:pPr>
              <w:pStyle w:val="TableContents"/>
              <w:bidi w:val="0"/>
              <w:spacing w:before="0" w:after="120"/>
              <w:ind w:left="0" w:right="0" w:hanging="0"/>
              <w:jc w:val="left"/>
              <w:rPr/>
            </w:pPr>
            <w:r>
              <w:rPr/>
              <w:t>​</w:t>
            </w:r>
          </w:p>
        </w:tc>
        <w:tc>
          <w:tcPr>
            <w:tcW w:w="706" w:type="dxa"/>
            <w:gridSpan w:val="2"/>
            <w:tcBorders/>
            <w:vAlign w:val="center"/>
          </w:tcPr>
          <w:p>
            <w:pPr>
              <w:pStyle w:val="TableContents"/>
              <w:bidi w:val="0"/>
              <w:spacing w:before="0" w:after="12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5" w:name="_0241d0d0_2b1b_4549_acbc_bf68f65622b0"/>
      <w:bookmarkEnd w:id="35"/>
      <w:r>
        <w:rPr>
          <w:rFonts w:ascii="Times New Roman;Times;serif" w:hAnsi="Times New Roman;Times;serif"/>
          <w:b/>
          <w:sz w:val="20"/>
        </w:rPr>
        <w:t>KRONOS WORLDWIDE, INC. AND SUBSIDIARIES</w:t>
      </w:r>
    </w:p>
    <w:p>
      <w:pPr>
        <w:pStyle w:val="TextBody"/>
        <w:bidi w:val="0"/>
        <w:spacing w:before="0" w:after="120"/>
        <w:ind w:left="0" w:right="0" w:hanging="0"/>
        <w:jc w:val="center"/>
        <w:rPr>
          <w:rFonts w:ascii="Times New Roman;Times;serif" w:hAnsi="Times New Roman;Times;serif"/>
          <w:b/>
          <w:sz w:val="20"/>
        </w:rPr>
      </w:pPr>
      <w:bookmarkStart w:id="36" w:name="CONDENSEDCONSOLIDATEDBALANCESHEETS_35349"/>
      <w:bookmarkEnd w:id="36"/>
      <w:r>
        <w:rPr>
          <w:rFonts w:ascii="Times New Roman;Times;serif" w:hAnsi="Times New Roman;Times;serif"/>
          <w:b/>
          <w:sz w:val="20"/>
        </w:rPr>
        <w:t>CONDENSED CONSOLIDATED BALANCE SHEETS</w:t>
      </w:r>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20"/>
        <w:ind w:left="0" w:right="0" w:firstLine="360"/>
        <w:jc w:val="center"/>
        <w:rPr>
          <w:rFonts w:ascii="Times New Roman;Times;serif" w:hAnsi="Times New Roman;Times;serif"/>
          <w:b/>
          <w:sz w:val="20"/>
        </w:rPr>
      </w:pPr>
      <w:r>
        <w:rPr>
          <w:rFonts w:ascii="Times New Roman;Times;serif" w:hAnsi="Times New Roman;Times;serif"/>
          <w:b/>
          <w:sz w:val="20"/>
        </w:rPr>
        <w:t>(In millions)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7" w:name="Tc_DNJsyHScmEGoAZJgE51JFQ_34_5"/>
      <w:bookmarkStart w:id="38" w:name="Tc_7JBbqAtNHEmA0FTvi6FrQA_34_2"/>
      <w:bookmarkStart w:id="39" w:name="Tc_aKqm63fra0yF_ZqgyikKqg_34_0"/>
      <w:bookmarkStart w:id="40" w:name="Tc_FNSUmSEscUWllXpMMixzrg_32_0"/>
      <w:bookmarkStart w:id="41" w:name="Tc_RcBgJjbd_UGJLW8WrspoRw_30_0"/>
      <w:bookmarkStart w:id="42" w:name="Tc_bnp7jq0UjUiNEE5_FW3CXg_28_0"/>
      <w:bookmarkStart w:id="43" w:name="Tc_JGNiP-gBxkW-mYhnuqcosQ_27_0"/>
      <w:bookmarkStart w:id="44" w:name="Tc_8HUrrXrbIUaGaoT71TFAkg_26_0"/>
      <w:bookmarkStart w:id="45" w:name="Tc_9dxr9bjGl0eegUkZNWH9pg_25_0"/>
      <w:bookmarkStart w:id="46" w:name="Tc_6v5GirgR80mTDehSJjlkow_24_0"/>
      <w:bookmarkStart w:id="47" w:name="Tc_XivMNMRkg0SEmPUaWFcgPA_23_0"/>
      <w:bookmarkStart w:id="48" w:name="Tc_MKsVMNJ9VUe-PxCYqcEz1Q_21_0"/>
      <w:bookmarkStart w:id="49" w:name="Tc_FtNqmDeJPkGGU_COgo8X-Q_19_0"/>
      <w:bookmarkStart w:id="50" w:name="Tc_hXRintXqvUimch4fe9wpNQ_18_0"/>
      <w:bookmarkStart w:id="51" w:name="Tc_ihJdF6Rv6k2tdfilTN6LBg_17_0"/>
      <w:bookmarkStart w:id="52" w:name="Tc_4gEOiZo_RkCJXRMXIJurWg_16_0"/>
      <w:bookmarkStart w:id="53" w:name="Tc_RGDkWmaOLUaPkhvBMg69qw_15_0"/>
      <w:bookmarkStart w:id="54" w:name="Tc_vCLBkpQMNEeflfAbQHdEUw_14_0"/>
      <w:bookmarkStart w:id="55" w:name="Tc_IshHJtSC4U-lg9mvuQNqPw_13_0"/>
      <w:bookmarkStart w:id="56" w:name="Tc_YxjDAOZhFUyTRlIKiv8Khg_11_0"/>
      <w:bookmarkStart w:id="57" w:name="Tc_1KUY6jDMtEqWTgEXRUg2dg_9_0"/>
      <w:bookmarkStart w:id="58" w:name="Tc_I2zKRwn_fkeqjMHKHAmcLQ_8_0"/>
      <w:bookmarkStart w:id="59" w:name="Tc_ZItl9D3p8USiiTFDKEl3lw_7_0"/>
      <w:bookmarkStart w:id="60" w:name="Tc_39b7j8qMTkWOh7PzFAiKZA_6_0"/>
      <w:bookmarkStart w:id="61" w:name="Tc_dbvaTWPzY06ilR7iRb9-Lg_5_5"/>
      <w:bookmarkStart w:id="62" w:name="Tc_JKbApeGHTEWmGNtIf4NXpA_5_2"/>
      <w:bookmarkStart w:id="63" w:name="Tc_IML7il76LkG_i_muZ_S4wg_5_0"/>
      <w:bookmarkStart w:id="64" w:name="Tc_xpG9sr55DE-p9WHNiUx5gA_4_0"/>
      <w:bookmarkStart w:id="65" w:name="Tc_AqeEpRILek-vIfpFKihJMQ_2_5"/>
      <w:bookmarkStart w:id="66" w:name="Tc_x011XboSvE23rOG_UI3pyQ_2_2"/>
      <w:bookmarkStart w:id="67" w:name="Tc_ebN4KRRVeEmUVI3iEnhn9w_1_5"/>
      <w:bookmarkStart w:id="68" w:name="Tc_OqleEk37_0CM1n1xZ76VCQ_1_2"/>
      <w:bookmarkStart w:id="69" w:name="Tc_m2vsfknq20iJK-OIRtrV6g_1_0"/>
      <w:bookmarkStart w:id="70" w:name="_0ba02da7_cca5_41f8_b779_f59654b9a7d6"/>
      <w:bookmarkStart w:id="71" w:name="Tc_DNJsyHScmEGoAZJgE51JFQ_34_5"/>
      <w:bookmarkStart w:id="72" w:name="Tc_7JBbqAtNHEmA0FTvi6FrQA_34_2"/>
      <w:bookmarkStart w:id="73" w:name="Tc_aKqm63fra0yF_ZqgyikKqg_34_0"/>
      <w:bookmarkStart w:id="74" w:name="Tc_FNSUmSEscUWllXpMMixzrg_32_0"/>
      <w:bookmarkStart w:id="75" w:name="Tc_RcBgJjbd_UGJLW8WrspoRw_30_0"/>
      <w:bookmarkStart w:id="76" w:name="Tc_bnp7jq0UjUiNEE5_FW3CXg_28_0"/>
      <w:bookmarkStart w:id="77" w:name="Tc_JGNiP-gBxkW-mYhnuqcosQ_27_0"/>
      <w:bookmarkStart w:id="78" w:name="Tc_8HUrrXrbIUaGaoT71TFAkg_26_0"/>
      <w:bookmarkStart w:id="79" w:name="Tc_9dxr9bjGl0eegUkZNWH9pg_25_0"/>
      <w:bookmarkStart w:id="80" w:name="Tc_6v5GirgR80mTDehSJjlkow_24_0"/>
      <w:bookmarkStart w:id="81" w:name="Tc_XivMNMRkg0SEmPUaWFcgPA_23_0"/>
      <w:bookmarkStart w:id="82" w:name="Tc_MKsVMNJ9VUe-PxCYqcEz1Q_21_0"/>
      <w:bookmarkStart w:id="83" w:name="Tc_FtNqmDeJPkGGU_COgo8X-Q_19_0"/>
      <w:bookmarkStart w:id="84" w:name="Tc_hXRintXqvUimch4fe9wpNQ_18_0"/>
      <w:bookmarkStart w:id="85" w:name="Tc_ihJdF6Rv6k2tdfilTN6LBg_17_0"/>
      <w:bookmarkStart w:id="86" w:name="Tc_4gEOiZo_RkCJXRMXIJurWg_16_0"/>
      <w:bookmarkStart w:id="87" w:name="Tc_RGDkWmaOLUaPkhvBMg69qw_15_0"/>
      <w:bookmarkStart w:id="88" w:name="Tc_vCLBkpQMNEeflfAbQHdEUw_14_0"/>
      <w:bookmarkStart w:id="89" w:name="Tc_IshHJtSC4U-lg9mvuQNqPw_13_0"/>
      <w:bookmarkStart w:id="90" w:name="Tc_YxjDAOZhFUyTRlIKiv8Khg_11_0"/>
      <w:bookmarkStart w:id="91" w:name="Tc_1KUY6jDMtEqWTgEXRUg2dg_9_0"/>
      <w:bookmarkStart w:id="92" w:name="Tc_I2zKRwn_fkeqjMHKHAmcLQ_8_0"/>
      <w:bookmarkStart w:id="93" w:name="Tc_ZItl9D3p8USiiTFDKEl3lw_7_0"/>
      <w:bookmarkStart w:id="94" w:name="Tc_39b7j8qMTkWOh7PzFAiKZA_6_0"/>
      <w:bookmarkStart w:id="95" w:name="Tc_dbvaTWPzY06ilR7iRb9-Lg_5_5"/>
      <w:bookmarkStart w:id="96" w:name="Tc_JKbApeGHTEWmGNtIf4NXpA_5_2"/>
      <w:bookmarkStart w:id="97" w:name="Tc_IML7il76LkG_i_muZ_S4wg_5_0"/>
      <w:bookmarkStart w:id="98" w:name="Tc_xpG9sr55DE-p9WHNiUx5gA_4_0"/>
      <w:bookmarkStart w:id="99" w:name="Tc_AqeEpRILek-vIfpFKihJMQ_2_5"/>
      <w:bookmarkStart w:id="100" w:name="Tc_x011XboSvE23rOG_UI3pyQ_2_2"/>
      <w:bookmarkStart w:id="101" w:name="Tc_ebN4KRRVeEmUVI3iEnhn9w_1_5"/>
      <w:bookmarkStart w:id="102" w:name="Tc_OqleEk37_0CM1n1xZ76VCQ_1_2"/>
      <w:bookmarkStart w:id="103" w:name="Tc_m2vsfknq20iJK-OIRtrV6g_1_0"/>
      <w:bookmarkStart w:id="104" w:name="_0ba02da7_cca5_41f8_b779_f59654b9a7d6"/>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tbl>
      <w:tblPr>
        <w:tblW w:w="7085" w:type="dxa"/>
        <w:jc w:val="left"/>
        <w:tblInd w:w="0" w:type="dxa"/>
        <w:tblLayout w:type="fixed"/>
        <w:tblCellMar>
          <w:top w:w="0" w:type="dxa"/>
          <w:left w:w="0" w:type="dxa"/>
          <w:bottom w:w="0" w:type="dxa"/>
          <w:right w:w="0" w:type="dxa"/>
        </w:tblCellMar>
      </w:tblPr>
      <w:tblGrid>
        <w:gridCol w:w="4051"/>
        <w:gridCol w:w="346"/>
        <w:gridCol w:w="295"/>
        <w:gridCol w:w="1010"/>
        <w:gridCol w:w="346"/>
        <w:gridCol w:w="211"/>
        <w:gridCol w:w="82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572385" cy="175260"/>
                      <wp:effectExtent l="0" t="0" r="0" b="0"/>
                      <wp:wrapNone/>
                      <wp:docPr id="18" name="Frame18"/>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87325" cy="175260"/>
                      <wp:effectExtent l="0" t="0" r="0" b="0"/>
                      <wp:wrapNone/>
                      <wp:docPr id="20" name="Frame20"/>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1350" cy="175260"/>
                      <wp:effectExtent l="0" t="0" r="0" b="0"/>
                      <wp:wrapNone/>
                      <wp:docPr id="21" name="Frame21"/>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24510" cy="175260"/>
                      <wp:effectExtent l="0" t="0" r="0" b="0"/>
                      <wp:wrapNone/>
                      <wp:docPr id="24" name="Frame2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1"/>
              <w:ind w:left="0" w:right="0" w:hanging="0"/>
              <w:jc w:val="center"/>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left"/>
              <w:rPr/>
            </w:pPr>
            <w:r>
              <w:rPr/>
              <w:t>​</w:t>
            </w:r>
          </w:p>
        </w:tc>
        <w:tc>
          <w:tcPr>
            <w:tcW w:w="103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5" w:type="dxa"/>
            <w:tcBorders/>
            <w:vAlign w:val="center"/>
          </w:tcPr>
          <w:p>
            <w:pPr>
              <w:pStyle w:val="TableContents"/>
              <w:bidi w:val="0"/>
              <w:spacing w:before="0" w:after="1"/>
              <w:ind w:left="0" w:right="0" w:hanging="0"/>
              <w:jc w:val="center"/>
              <w:rPr/>
            </w:pPr>
            <w:r>
              <w:rPr/>
              <w:t>​</w:t>
            </w:r>
          </w:p>
        </w:tc>
        <w:tc>
          <w:tcPr>
            <w:tcW w:w="101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7" w:type="dxa"/>
            <w:gridSpan w:val="2"/>
            <w:tcBorders/>
            <w:vAlign w:val="center"/>
          </w:tcPr>
          <w:p>
            <w:pPr>
              <w:pStyle w:val="TableContents"/>
              <w:bidi w:val="0"/>
              <w:spacing w:before="0" w:after="1"/>
              <w:ind w:left="0" w:right="0" w:hanging="0"/>
              <w:jc w:val="center"/>
              <w:rPr/>
            </w:pPr>
            <w:r>
              <w:rPr/>
              <w:t>​</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295" w:type="dxa"/>
            <w:tcBorders/>
            <w:shd w:fill="CCEEFF" w:val="clear"/>
            <w:vAlign w:val="center"/>
          </w:tcPr>
          <w:p>
            <w:pPr>
              <w:pStyle w:val="TableContents"/>
              <w:bidi w:val="0"/>
              <w:spacing w:before="0" w:after="1"/>
              <w:ind w:left="0" w:right="0" w:hanging="0"/>
              <w:jc w:val="left"/>
              <w:rPr/>
            </w:pPr>
            <w:r>
              <w:rPr/>
              <w:t>​</w:t>
            </w:r>
          </w:p>
        </w:tc>
        <w:tc>
          <w:tcPr>
            <w:tcW w:w="101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26.6</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and other receivables, net</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393.3</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498.3</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34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21.9</w:t>
            </w:r>
          </w:p>
        </w:tc>
      </w:tr>
      <w:tr>
        <w:trPr/>
        <w:tc>
          <w:tcPr>
            <w:tcW w:w="40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10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942.6</w:t>
            </w:r>
          </w:p>
        </w:tc>
      </w:tr>
      <w:tr>
        <w:trPr/>
        <w:tc>
          <w:tcPr>
            <w:tcW w:w="40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10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19.2</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29.7</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34.8</w:t>
            </w:r>
          </w:p>
        </w:tc>
      </w:tr>
      <w:tr>
        <w:trPr/>
        <w:tc>
          <w:tcPr>
            <w:tcW w:w="40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10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4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93.8</w:t>
            </w:r>
          </w:p>
        </w:tc>
      </w:tr>
      <w:tr>
        <w:trPr/>
        <w:tc>
          <w:tcPr>
            <w:tcW w:w="40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10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78.3</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271.8</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1,435.9</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Mining properties</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139.0</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49.6</w: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1,974.6</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1,267.0</w: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10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707.6</w: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10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1,744.0</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KRONOS WORLDWIDE, INC. AND SUBSIDIARIES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(CONTINUED)</w:t>
      </w:r>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20"/>
        <w:ind w:left="0" w:right="0" w:firstLine="360"/>
        <w:jc w:val="center"/>
        <w:rPr>
          <w:rFonts w:ascii="Times New Roman;Times;serif" w:hAnsi="Times New Roman;Times;serif"/>
          <w:b/>
          <w:sz w:val="20"/>
        </w:rPr>
      </w:pPr>
      <w:r>
        <w:rPr>
          <w:rFonts w:ascii="Times New Roman;Times;serif" w:hAnsi="Times New Roman;Times;serif"/>
          <w:b/>
          <w:sz w:val="20"/>
        </w:rPr>
        <w:t>(In millions)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05" w:name="Tc_EyaJAMvpO0e0soa1rbvsmw_27_5"/>
      <w:bookmarkStart w:id="106" w:name="Tc_Aw21j6b4vU631Yz_rTgstg_27_2"/>
      <w:bookmarkStart w:id="107" w:name="Tc_VZ3ZBqe9UUquNlmTPtFUww_27_0"/>
      <w:bookmarkStart w:id="108" w:name="Tc_9a8lDiE980CRgp8y7In0bw_25_0"/>
      <w:bookmarkStart w:id="109" w:name="Tc_GF29wAZWwEW8PF3Hmnq0Pw_23_0"/>
      <w:bookmarkStart w:id="110" w:name="Tc_0D1WrGFfyUWlxXXIynp2Kw_22_0"/>
      <w:bookmarkStart w:id="111" w:name="Tc_2lczqgrYpkKe9PnGz18owQ_21_0"/>
      <w:bookmarkStart w:id="112" w:name="Tc_5Xt_4gL1Zk-i1lflnLBL_A_20_0"/>
      <w:bookmarkStart w:id="113" w:name="Tc_CrDJk8O0mEi2rkxwQRy52g_19_0"/>
      <w:bookmarkStart w:id="114" w:name="Tc_kQykKTRauU-LMeUccT4YNw_17_0"/>
      <w:bookmarkStart w:id="115" w:name="Tc_0UG6upo3ZEOHniq8ASnyCQ_15_0"/>
      <w:bookmarkStart w:id="116" w:name="Tc_F0FCbioHIU6HSdzLTqbdDA_14_0"/>
      <w:bookmarkStart w:id="117" w:name="Tc_NUPZuZhoYUG_AK6PYWFbSA_13_0"/>
      <w:bookmarkStart w:id="118" w:name="Tc_BU89y1nzak2877PUTDfqyA_12_0"/>
      <w:bookmarkStart w:id="119" w:name="Tc_9BTu8-5l50KSmHB7KjyAxQ_11_0"/>
      <w:bookmarkStart w:id="120" w:name="Tc_faqtab7CJEqaEeRyzVjFUQ_10_0"/>
      <w:bookmarkStart w:id="121" w:name="Tc_A2yJZwYpwUCttpONcaVtXA_8_0"/>
      <w:bookmarkStart w:id="122" w:name="Tc_mgNBKHE_ukeFYs-tLONhfQ_6_0"/>
      <w:bookmarkStart w:id="123" w:name="Tc_8lTzswZj70q0U8oTRMYr9w_5_5"/>
      <w:bookmarkStart w:id="124" w:name="Tc_zAP5s9BuMkWocVHdUuK4iQ_5_2"/>
      <w:bookmarkStart w:id="125" w:name="Tc_s0OL2WV9LUKxlB6XKi4C9g_5_0"/>
      <w:bookmarkStart w:id="126" w:name="Tc_2hROznRoV0-w2icTmdGekQ_4_0"/>
      <w:bookmarkStart w:id="127" w:name="Tc_7WRa3iwtz0ejOcQ3aJfehg_2_5"/>
      <w:bookmarkStart w:id="128" w:name="Tc_2a3dX5WBfUObwyUIdWNA9A_2_2"/>
      <w:bookmarkStart w:id="129" w:name="Tc_8JiQBoT31k-5rSeRUcELeg_1_5"/>
      <w:bookmarkStart w:id="130" w:name="Tc_2kzQrv2mOEadJJ_I2CAWpg_1_2"/>
      <w:bookmarkStart w:id="131" w:name="Tc__1wJqGKcU0G7M2YVXDWshQ_1_0"/>
      <w:bookmarkStart w:id="132" w:name="_023ab997_8979_4648_ac53_9fd1b23aa63f"/>
      <w:bookmarkStart w:id="133" w:name="Tc_EyaJAMvpO0e0soa1rbvsmw_27_5"/>
      <w:bookmarkStart w:id="134" w:name="Tc_Aw21j6b4vU631Yz_rTgstg_27_2"/>
      <w:bookmarkStart w:id="135" w:name="Tc_VZ3ZBqe9UUquNlmTPtFUww_27_0"/>
      <w:bookmarkStart w:id="136" w:name="Tc_9a8lDiE980CRgp8y7In0bw_25_0"/>
      <w:bookmarkStart w:id="137" w:name="Tc_GF29wAZWwEW8PF3Hmnq0Pw_23_0"/>
      <w:bookmarkStart w:id="138" w:name="Tc_0D1WrGFfyUWlxXXIynp2Kw_22_0"/>
      <w:bookmarkStart w:id="139" w:name="Tc_2lczqgrYpkKe9PnGz18owQ_21_0"/>
      <w:bookmarkStart w:id="140" w:name="Tc_5Xt_4gL1Zk-i1lflnLBL_A_20_0"/>
      <w:bookmarkStart w:id="141" w:name="Tc_CrDJk8O0mEi2rkxwQRy52g_19_0"/>
      <w:bookmarkStart w:id="142" w:name="Tc_kQykKTRauU-LMeUccT4YNw_17_0"/>
      <w:bookmarkStart w:id="143" w:name="Tc_0UG6upo3ZEOHniq8ASnyCQ_15_0"/>
      <w:bookmarkStart w:id="144" w:name="Tc_F0FCbioHIU6HSdzLTqbdDA_14_0"/>
      <w:bookmarkStart w:id="145" w:name="Tc_NUPZuZhoYUG_AK6PYWFbSA_13_0"/>
      <w:bookmarkStart w:id="146" w:name="Tc_BU89y1nzak2877PUTDfqyA_12_0"/>
      <w:bookmarkStart w:id="147" w:name="Tc_9BTu8-5l50KSmHB7KjyAxQ_11_0"/>
      <w:bookmarkStart w:id="148" w:name="Tc_faqtab7CJEqaEeRyzVjFUQ_10_0"/>
      <w:bookmarkStart w:id="149" w:name="Tc_A2yJZwYpwUCttpONcaVtXA_8_0"/>
      <w:bookmarkStart w:id="150" w:name="Tc_mgNBKHE_ukeFYs-tLONhfQ_6_0"/>
      <w:bookmarkStart w:id="151" w:name="Tc_8lTzswZj70q0U8oTRMYr9w_5_5"/>
      <w:bookmarkStart w:id="152" w:name="Tc_zAP5s9BuMkWocVHdUuK4iQ_5_2"/>
      <w:bookmarkStart w:id="153" w:name="Tc_s0OL2WV9LUKxlB6XKi4C9g_5_0"/>
      <w:bookmarkStart w:id="154" w:name="Tc_2hROznRoV0-w2icTmdGekQ_4_0"/>
      <w:bookmarkStart w:id="155" w:name="Tc_7WRa3iwtz0ejOcQ3aJfehg_2_5"/>
      <w:bookmarkStart w:id="156" w:name="Tc_2a3dX5WBfUObwyUIdWNA9A_2_2"/>
      <w:bookmarkStart w:id="157" w:name="Tc_8JiQBoT31k-5rSeRUcELeg_1_5"/>
      <w:bookmarkStart w:id="158" w:name="Tc_2kzQrv2mOEadJJ_I2CAWpg_1_2"/>
      <w:bookmarkStart w:id="159" w:name="Tc__1wJqGKcU0G7M2YVXDWshQ_1_0"/>
      <w:bookmarkStart w:id="160" w:name="_023ab997_8979_4648_ac53_9fd1b23aa63f"/>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tbl>
      <w:tblPr>
        <w:tblW w:w="8360" w:type="dxa"/>
        <w:jc w:val="left"/>
        <w:tblInd w:w="0" w:type="dxa"/>
        <w:tblLayout w:type="fixed"/>
        <w:tblCellMar>
          <w:top w:w="0" w:type="dxa"/>
          <w:left w:w="0" w:type="dxa"/>
          <w:bottom w:w="0" w:type="dxa"/>
          <w:right w:w="0" w:type="dxa"/>
        </w:tblCellMar>
      </w:tblPr>
      <w:tblGrid>
        <w:gridCol w:w="5326"/>
        <w:gridCol w:w="346"/>
        <w:gridCol w:w="295"/>
        <w:gridCol w:w="1010"/>
        <w:gridCol w:w="346"/>
        <w:gridCol w:w="211"/>
        <w:gridCol w:w="826"/>
      </w:tblGrid>
      <w:tr>
        <w:trPr/>
        <w:tc>
          <w:tcPr>
            <w:tcW w:w="5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382010" cy="175260"/>
                      <wp:effectExtent l="0" t="0" r="0" b="0"/>
                      <wp:wrapNone/>
                      <wp:docPr id="25" name="Frame25"/>
                      <a:graphic xmlns:a="http://schemas.openxmlformats.org/drawingml/2006/main">
                        <a:graphicData uri="http://schemas.microsoft.com/office/word/2010/wordprocessingShape">
                          <wps:wsp>
                            <wps:cNvSpPr txBox="1"/>
                            <wps:spPr>
                              <a:xfrm>
                                <a:off x="0" y="0"/>
                                <a:ext cx="3382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87325" cy="175260"/>
                      <wp:effectExtent l="0" t="0" r="0" b="0"/>
                      <wp:wrapNone/>
                      <wp:docPr id="27" name="Frame27"/>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1350" cy="175260"/>
                      <wp:effectExtent l="0" t="0" r="0" b="0"/>
                      <wp:wrapNone/>
                      <wp:docPr id="28" name="Frame28"/>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24510" cy="175260"/>
                      <wp:effectExtent l="0" t="0" r="0" b="0"/>
                      <wp:wrapNone/>
                      <wp:docPr id="31" name="Frame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5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5" w:type="dxa"/>
            <w:tcBorders/>
            <w:vAlign w:val="center"/>
          </w:tcPr>
          <w:p>
            <w:pPr>
              <w:pStyle w:val="TableContents"/>
              <w:bidi w:val="0"/>
              <w:spacing w:before="0" w:after="0"/>
              <w:ind w:left="0" w:right="0" w:hanging="0"/>
              <w:jc w:val="center"/>
              <w:rPr/>
            </w:pPr>
            <w:r>
              <w:rPr/>
              <w:t>​</w:t>
            </w:r>
          </w:p>
        </w:tc>
        <w:tc>
          <w:tcPr>
            <w:tcW w:w="101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7" w:type="dxa"/>
            <w:gridSpan w:val="2"/>
            <w:tcBorders/>
            <w:vAlign w:val="center"/>
          </w:tcPr>
          <w:p>
            <w:pPr>
              <w:pStyle w:val="TableContents"/>
              <w:bidi w:val="0"/>
              <w:spacing w:before="0" w:after="0"/>
              <w:ind w:left="0" w:right="0" w:hanging="0"/>
              <w:jc w:val="center"/>
              <w:rPr/>
            </w:pPr>
            <w:r>
              <w:rPr/>
              <w:t>​</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282.2</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r>
      <w:tr>
        <w:trPr/>
        <w:tc>
          <w:tcPr>
            <w:tcW w:w="5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285.8</w:t>
            </w:r>
          </w:p>
        </w:tc>
      </w:tr>
      <w:tr>
        <w:trPr/>
        <w:tc>
          <w:tcPr>
            <w:tcW w:w="5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(including affiliate debt of $53.7 at each period)</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569.6</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pension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73.7</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32.8</w:t>
            </w:r>
          </w:p>
        </w:tc>
      </w:tr>
      <w:tr>
        <w:trPr/>
        <w:tc>
          <w:tcPr>
            <w:tcW w:w="5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707.2</w:t>
            </w:r>
          </w:p>
        </w:tc>
      </w:tr>
      <w:tr>
        <w:trPr/>
        <w:tc>
          <w:tcPr>
            <w:tcW w:w="5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1,390.8</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(346.0)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(295.0)</w:t>
            </w:r>
          </w:p>
        </w:tc>
      </w:tr>
      <w:tr>
        <w:trPr/>
        <w:tc>
          <w:tcPr>
            <w:tcW w:w="5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751.0</w:t>
            </w:r>
          </w:p>
        </w:tc>
      </w:tr>
      <w:tr>
        <w:trPr/>
        <w:tc>
          <w:tcPr>
            <w:tcW w:w="5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1,744.0</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(Notes 11 and 13)</w:t>
      </w:r>
    </w:p>
    <w:p>
      <w:pPr>
        <w:pStyle w:val="TextBody"/>
        <w:bidi w:val="0"/>
        <w:spacing w:before="0" w:after="0"/>
        <w:ind w:left="0" w:right="0" w:hanging="0"/>
        <w:jc w:val="both"/>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61" w:name="_6809d688_18fc_46dc_9749_ce226604834a"/>
      <w:bookmarkEnd w:id="161"/>
      <w:r>
        <w:rPr>
          <w:rFonts w:ascii="Times New Roman;Times;serif" w:hAnsi="Times New Roman;Times;serif"/>
          <w:b/>
          <w:sz w:val="20"/>
        </w:rPr>
        <w:t>KRONOS WORLDWIDE, INC. AND SUBSIDIARIES</w:t>
      </w:r>
    </w:p>
    <w:p>
      <w:pPr>
        <w:pStyle w:val="TextBody"/>
        <w:bidi w:val="0"/>
        <w:spacing w:before="0" w:after="120"/>
        <w:ind w:left="0" w:right="0" w:hanging="0"/>
        <w:jc w:val="center"/>
        <w:rPr>
          <w:rFonts w:ascii="Times New Roman;Times;serif" w:hAnsi="Times New Roman;Times;serif"/>
          <w:b/>
          <w:sz w:val="20"/>
        </w:rPr>
      </w:pPr>
      <w:bookmarkStart w:id="162" w:name="CONDENSEDCONSOLIDATEDSTATEMENTSOFINCOME_"/>
      <w:bookmarkEnd w:id="162"/>
      <w:r>
        <w:rPr>
          <w:rFonts w:ascii="Times New Roman;Times;serif" w:hAnsi="Times New Roman;Times;serif"/>
          <w:b/>
          <w:sz w:val="20"/>
        </w:rPr>
        <w:t>CONDENSED CONSOLIDATED STATEMENTS OF OPERATIONS</w:t>
      </w:r>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 except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63" w:name="Tc_-3n8ohrWjUClO2Ok64MVmg_31_0"/>
      <w:bookmarkStart w:id="164" w:name="Tc_FP-COoNJ2UGpE43w4ed9Tg_29_11"/>
      <w:bookmarkStart w:id="165" w:name="Tc_KfIdQsiVQUKLNgJMA7wsOA_29_8"/>
      <w:bookmarkStart w:id="166" w:name="Tc_06Z1Swd8xE6pyiA-t2T2zg_29_5"/>
      <w:bookmarkStart w:id="167" w:name="Tc_9S9ha0NupU2oRL2dUCETrA_29_2"/>
      <w:bookmarkStart w:id="168" w:name="Tc_9bCCW98vSEaLNMWjQYDXTA_29_0"/>
      <w:bookmarkStart w:id="169" w:name="Tc_ryEZ8EgWr0maGzRxoG4tMQ_27_11"/>
      <w:bookmarkStart w:id="170" w:name="Tc_vqofu1OgVUGipwrtAyXwtg_27_8"/>
      <w:bookmarkStart w:id="171" w:name="Tc_2b6dSswOsUOns61QNROZYQ_27_5"/>
      <w:bookmarkStart w:id="172" w:name="Tc_AOuJHXk9UESUoavsvuj-5w_27_2"/>
      <w:bookmarkStart w:id="173" w:name="Tc_uqDH0xEVIUem2ItoHfpShw_27_0"/>
      <w:bookmarkStart w:id="174" w:name="Tc_TutGEDUaFEi-6T2bWgY5IQ_25_0"/>
      <w:bookmarkStart w:id="175" w:name="Tc_bRN5DWIiKUWY16IGyQQaOQ_23_0"/>
      <w:bookmarkStart w:id="176" w:name="Tc_tUQVEcmza0GksF3yHhdxTA_21_0"/>
      <w:bookmarkStart w:id="177" w:name="Tc_ib9uiRsjxEWqOS-D1__Agg_20_0"/>
      <w:bookmarkStart w:id="178" w:name="Tc_X6hFSDlNi0q16lgovKWOOA_19_6"/>
      <w:bookmarkStart w:id="179" w:name="Tc_lVx31Bertk6SH8gJ8kY6nQ_19_3"/>
      <w:bookmarkStart w:id="180" w:name="Tc_4ee25o7ybEK4H5o0DAsV5A_19_0"/>
      <w:bookmarkStart w:id="181" w:name="Tc_IRmZZHKX502_tdfXgwywig_18_0"/>
      <w:bookmarkStart w:id="182" w:name="Tc_9AUtdLSy-UKWNxDZGwtRyw_17_0"/>
      <w:bookmarkStart w:id="183" w:name="Tc_3GE2j8OVk0yfDp-dsPrOzw_15_0"/>
      <w:bookmarkStart w:id="184" w:name="Tc_5GGyZKBaDE-5m7ALVYUG0A_13_0"/>
      <w:bookmarkStart w:id="185" w:name="Tc_p2fi3mapmUCzGgZQgHB39g_12_0"/>
      <w:bookmarkStart w:id="186" w:name="Tc_K5wKo7S4MkeZjpWRYGXfCA_11_0"/>
      <w:bookmarkStart w:id="187" w:name="Tc_TFB9pmDr5EGChcBHPzHLQw_10_0"/>
      <w:bookmarkStart w:id="188" w:name="Tc_E2X3eCIH_EywaJ6Io6BkTw_8_0"/>
      <w:bookmarkStart w:id="189" w:name="Tc_IyPiV18u6EylF9_LMvwHPw_6_0"/>
      <w:bookmarkStart w:id="190" w:name="Tc__JJpilhz0EGynmvrI0KcMg_5_11"/>
      <w:bookmarkStart w:id="191" w:name="Tc_oPTON8NSeE2i_Q2rQNYfhA_5_8"/>
      <w:bookmarkStart w:id="192" w:name="Tc_eCCSui7mnUq6CriJvioxIQ_5_5"/>
      <w:bookmarkStart w:id="193" w:name="Tc_roJ-zRhHHE-qnyttD_ixBA_5_2"/>
      <w:bookmarkStart w:id="194" w:name="Tc_1kJPGTS9O0yd92RY7oSyFQ_5_0"/>
      <w:bookmarkStart w:id="195" w:name="Tc_pe_-3OsRRUiidEnW1PhFSw_3_11"/>
      <w:bookmarkStart w:id="196" w:name="Tc_YPgTBCXADUigRHZiMh7M9Q_3_8"/>
      <w:bookmarkStart w:id="197" w:name="Tc_QV4ilGvGykqV4zGX5M2IRQ_3_5"/>
      <w:bookmarkStart w:id="198" w:name="Tc_nLv84fDwx0u0rSL-viT3sg_3_2"/>
      <w:bookmarkStart w:id="199" w:name="Tc_bnSo_fnEskeNrtzfnrQKwA_2_8"/>
      <w:bookmarkStart w:id="200" w:name="Tc_l1P11OL-8EGE5pEfwS1JFQ_2_2"/>
      <w:bookmarkStart w:id="201" w:name="Tc_B5HWnkCpT0SKNSlr97gy_Q_1_8"/>
      <w:bookmarkStart w:id="202" w:name="Tc_JHQ3tSmuYEG4wRX7FVH__Q_1_2"/>
      <w:bookmarkStart w:id="203" w:name="_9f29a242_81ff_4b96_8fcb_71a86f0ec39e"/>
      <w:bookmarkStart w:id="204" w:name="_65a0ab1d_511a_40b9_8791_1f02d2b5424e"/>
      <w:bookmarkStart w:id="205" w:name="Tc_-3n8ohrWjUClO2Ok64MVmg_31_0"/>
      <w:bookmarkStart w:id="206" w:name="Tc_FP-COoNJ2UGpE43w4ed9Tg_29_11"/>
      <w:bookmarkStart w:id="207" w:name="Tc_KfIdQsiVQUKLNgJMA7wsOA_29_8"/>
      <w:bookmarkStart w:id="208" w:name="Tc_06Z1Swd8xE6pyiA-t2T2zg_29_5"/>
      <w:bookmarkStart w:id="209" w:name="Tc_9S9ha0NupU2oRL2dUCETrA_29_2"/>
      <w:bookmarkStart w:id="210" w:name="Tc_9bCCW98vSEaLNMWjQYDXTA_29_0"/>
      <w:bookmarkStart w:id="211" w:name="Tc_ryEZ8EgWr0maGzRxoG4tMQ_27_11"/>
      <w:bookmarkStart w:id="212" w:name="Tc_vqofu1OgVUGipwrtAyXwtg_27_8"/>
      <w:bookmarkStart w:id="213" w:name="Tc_2b6dSswOsUOns61QNROZYQ_27_5"/>
      <w:bookmarkStart w:id="214" w:name="Tc_AOuJHXk9UESUoavsvuj-5w_27_2"/>
      <w:bookmarkStart w:id="215" w:name="Tc_uqDH0xEVIUem2ItoHfpShw_27_0"/>
      <w:bookmarkStart w:id="216" w:name="Tc_TutGEDUaFEi-6T2bWgY5IQ_25_0"/>
      <w:bookmarkStart w:id="217" w:name="Tc_bRN5DWIiKUWY16IGyQQaOQ_23_0"/>
      <w:bookmarkStart w:id="218" w:name="Tc_tUQVEcmza0GksF3yHhdxTA_21_0"/>
      <w:bookmarkStart w:id="219" w:name="Tc_ib9uiRsjxEWqOS-D1__Agg_20_0"/>
      <w:bookmarkStart w:id="220" w:name="Tc_X6hFSDlNi0q16lgovKWOOA_19_6"/>
      <w:bookmarkStart w:id="221" w:name="Tc_lVx31Bertk6SH8gJ8kY6nQ_19_3"/>
      <w:bookmarkStart w:id="222" w:name="Tc_4ee25o7ybEK4H5o0DAsV5A_19_0"/>
      <w:bookmarkStart w:id="223" w:name="Tc_IRmZZHKX502_tdfXgwywig_18_0"/>
      <w:bookmarkStart w:id="224" w:name="Tc_9AUtdLSy-UKWNxDZGwtRyw_17_0"/>
      <w:bookmarkStart w:id="225" w:name="Tc_3GE2j8OVk0yfDp-dsPrOzw_15_0"/>
      <w:bookmarkStart w:id="226" w:name="Tc_5GGyZKBaDE-5m7ALVYUG0A_13_0"/>
      <w:bookmarkStart w:id="227" w:name="Tc_p2fi3mapmUCzGgZQgHB39g_12_0"/>
      <w:bookmarkStart w:id="228" w:name="Tc_K5wKo7S4MkeZjpWRYGXfCA_11_0"/>
      <w:bookmarkStart w:id="229" w:name="Tc_TFB9pmDr5EGChcBHPzHLQw_10_0"/>
      <w:bookmarkStart w:id="230" w:name="Tc_E2X3eCIH_EywaJ6Io6BkTw_8_0"/>
      <w:bookmarkStart w:id="231" w:name="Tc_IyPiV18u6EylF9_LMvwHPw_6_0"/>
      <w:bookmarkStart w:id="232" w:name="Tc__JJpilhz0EGynmvrI0KcMg_5_11"/>
      <w:bookmarkStart w:id="233" w:name="Tc_oPTON8NSeE2i_Q2rQNYfhA_5_8"/>
      <w:bookmarkStart w:id="234" w:name="Tc_eCCSui7mnUq6CriJvioxIQ_5_5"/>
      <w:bookmarkStart w:id="235" w:name="Tc_roJ-zRhHHE-qnyttD_ixBA_5_2"/>
      <w:bookmarkStart w:id="236" w:name="Tc_1kJPGTS9O0yd92RY7oSyFQ_5_0"/>
      <w:bookmarkStart w:id="237" w:name="Tc_pe_-3OsRRUiidEnW1PhFSw_3_11"/>
      <w:bookmarkStart w:id="238" w:name="Tc_YPgTBCXADUigRHZiMh7M9Q_3_8"/>
      <w:bookmarkStart w:id="239" w:name="Tc_QV4ilGvGykqV4zGX5M2IRQ_3_5"/>
      <w:bookmarkStart w:id="240" w:name="Tc_nLv84fDwx0u0rSL-viT3sg_3_2"/>
      <w:bookmarkStart w:id="241" w:name="Tc_bnSo_fnEskeNrtzfnrQKwA_2_8"/>
      <w:bookmarkStart w:id="242" w:name="Tc_l1P11OL-8EGE5pEfwS1JFQ_2_2"/>
      <w:bookmarkStart w:id="243" w:name="Tc_B5HWnkCpT0SKNSlr97gy_Q_1_8"/>
      <w:bookmarkStart w:id="244" w:name="Tc_JHQ3tSmuYEG4wRX7FVH__Q_1_2"/>
      <w:bookmarkStart w:id="245" w:name="_9f29a242_81ff_4b96_8fcb_71a86f0ec39e"/>
      <w:bookmarkStart w:id="246" w:name="_65a0ab1d_511a_40b9_8791_1f02d2b5424e"/>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tbl>
      <w:tblPr>
        <w:tblW w:w="9301" w:type="dxa"/>
        <w:jc w:val="left"/>
        <w:tblInd w:w="0" w:type="dxa"/>
        <w:tblLayout w:type="fixed"/>
        <w:tblCellMar>
          <w:top w:w="0" w:type="dxa"/>
          <w:left w:w="0" w:type="dxa"/>
          <w:bottom w:w="0" w:type="dxa"/>
          <w:right w:w="0" w:type="dxa"/>
        </w:tblCellMar>
      </w:tblPr>
      <w:tblGrid>
        <w:gridCol w:w="4786"/>
        <w:gridCol w:w="109"/>
        <w:gridCol w:w="211"/>
        <w:gridCol w:w="586"/>
        <w:gridCol w:w="346"/>
        <w:gridCol w:w="211"/>
        <w:gridCol w:w="586"/>
        <w:gridCol w:w="346"/>
        <w:gridCol w:w="211"/>
        <w:gridCol w:w="586"/>
        <w:gridCol w:w="346"/>
        <w:gridCol w:w="211"/>
        <w:gridCol w:w="766"/>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039110" cy="175260"/>
                      <wp:effectExtent l="0" t="0" r="0" b="0"/>
                      <wp:wrapNone/>
                      <wp:docPr id="32" name="Frame32"/>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72110" cy="175260"/>
                      <wp:effectExtent l="0" t="0" r="0" b="0"/>
                      <wp:wrapNone/>
                      <wp:docPr id="35" name="Frame3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72110" cy="175260"/>
                      <wp:effectExtent l="0" t="0" r="0" b="0"/>
                      <wp:wrapNone/>
                      <wp:docPr id="38" name="Frame3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72110" cy="175260"/>
                      <wp:effectExtent l="0" t="0" r="0" b="0"/>
                      <wp:wrapNone/>
                      <wp:docPr id="41" name="Frame4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86410" cy="175260"/>
                      <wp:effectExtent l="0" t="0" r="0" b="0"/>
                      <wp:wrapNone/>
                      <wp:docPr id="44" name="Frame4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930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06" w:type="dxa"/>
            <w:gridSpan w:val="11"/>
            <w:tcBorders/>
            <w:vAlign w:val="center"/>
          </w:tcPr>
          <w:p>
            <w:pPr>
              <w:pStyle w:val="TableContents"/>
              <w:bidi w:val="0"/>
              <w:spacing w:before="0" w:after="0"/>
              <w:ind w:left="0" w:right="0" w:hanging="0"/>
              <w:jc w:val="center"/>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1,067.9</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881.8</w:t>
            </w:r>
          </w:p>
        </w:tc>
      </w:tr>
      <w:tr>
        <w:trPr/>
        <w:tc>
          <w:tcPr>
            <w:tcW w:w="47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186.1</w:t>
            </w:r>
          </w:p>
        </w:tc>
      </w:tr>
      <w:tr>
        <w:trPr/>
        <w:tc>
          <w:tcPr>
            <w:tcW w:w="47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128.1</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income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transactions,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w:t>
            </w:r>
          </w:p>
        </w:tc>
      </w:tr>
      <w:tr>
        <w:trPr/>
        <w:tc>
          <w:tcPr>
            <w:tcW w:w="4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50.2</w:t>
            </w:r>
          </w:p>
        </w:tc>
      </w:tr>
      <w:tr>
        <w:trPr/>
        <w:tc>
          <w:tcPr>
            <w:tcW w:w="4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equity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cost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(28.5)</w:t>
            </w:r>
          </w:p>
        </w:tc>
      </w:tr>
      <w:tr>
        <w:trPr/>
        <w:tc>
          <w:tcPr>
            <w:tcW w:w="4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w:t>
            </w:r>
          </w:p>
        </w:tc>
      </w:tr>
      <w:tr>
        <w:trPr/>
        <w:tc>
          <w:tcPr>
            <w:tcW w:w="4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w:t>
            </w:r>
          </w:p>
        </w:tc>
      </w:tr>
      <w:tr>
        <w:trPr/>
        <w:tc>
          <w:tcPr>
            <w:tcW w:w="4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w:t>
            </w:r>
          </w:p>
        </w:tc>
      </w:tr>
      <w:tr>
        <w:trPr/>
        <w:tc>
          <w:tcPr>
            <w:tcW w:w="4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basic and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.09</w:t>
            </w:r>
          </w:p>
        </w:tc>
      </w:tr>
      <w:tr>
        <w:trPr/>
        <w:tc>
          <w:tcPr>
            <w:tcW w:w="4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shares used in the calculation of </w:t>
              <w:br/>
              <w:t>net income (loss)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115.1</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47" w:name="_2da64a3c_7450_42ca_b897_f1be4016396e"/>
      <w:bookmarkEnd w:id="247"/>
      <w:r>
        <w:rPr>
          <w:rFonts w:ascii="Times New Roman;Times;serif" w:hAnsi="Times New Roman;Times;serif"/>
          <w:b/>
          <w:sz w:val="20"/>
        </w:rPr>
        <w:t>KRONOS WORLDWIDE, INC. AND SUBSIDIARIES</w:t>
      </w:r>
    </w:p>
    <w:p>
      <w:pPr>
        <w:pStyle w:val="TextBody"/>
        <w:bidi w:val="0"/>
        <w:spacing w:before="0" w:after="120"/>
        <w:ind w:left="0" w:right="0" w:hanging="0"/>
        <w:jc w:val="center"/>
        <w:rPr>
          <w:rFonts w:ascii="Times New Roman;Times;serif" w:hAnsi="Times New Roman;Times;serif"/>
          <w:b/>
          <w:sz w:val="20"/>
        </w:rPr>
      </w:pPr>
      <w:bookmarkStart w:id="248" w:name="CompIncome"/>
      <w:bookmarkStart w:id="249" w:name="CONDENSEDCONSOLIDATEDSTMTSCOMPREINC"/>
      <w:bookmarkEnd w:id="248"/>
      <w:bookmarkEnd w:id="249"/>
      <w:r>
        <w:rPr>
          <w:rFonts w:ascii="Times New Roman;Times;serif" w:hAnsi="Times New Roman;Times;serif"/>
          <w:b/>
          <w:sz w:val="20"/>
        </w:rPr>
        <w:t>CONDENSED CONSOLIDATED STATEMENTS OF COMPREHENSIVE INCOME</w:t>
      </w:r>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20"/>
        <w:ind w:left="0" w:right="0" w:firstLine="360"/>
        <w:jc w:val="center"/>
        <w:rPr>
          <w:rFonts w:ascii="Times New Roman;Times;serif" w:hAnsi="Times New Roman;Times;serif"/>
          <w:b/>
          <w:sz w:val="20"/>
        </w:rPr>
      </w:pPr>
      <w:r>
        <w:rPr>
          <w:rFonts w:ascii="Times New Roman;Times;serif" w:hAnsi="Times New Roman;Times;serif"/>
          <w:b/>
          <w:sz w:val="20"/>
        </w:rPr>
        <w:t>(In millions)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0" w:name="Tc_OOvDeYkEDEWlOkqbJTktSg_13_11"/>
      <w:bookmarkStart w:id="251" w:name="Tc_i1-vf1gLIkOUBO3oJRUWQw_13_8"/>
      <w:bookmarkStart w:id="252" w:name="Tc_dNefJP3-DECZt8RWEn_jjQ_13_5"/>
      <w:bookmarkStart w:id="253" w:name="Tc_Ww4tckkkAUKWWmOA2CCzVA_13_2"/>
      <w:bookmarkStart w:id="254" w:name="Tc_Bq_5MfUxZkWqt1yl9szi0g_13_0"/>
      <w:bookmarkStart w:id="255" w:name="Tc_pQvJzxTNbEy-qr5YiLw1lw_11_0"/>
      <w:bookmarkStart w:id="256" w:name="Tc_wFlyzKq2b0aNtd6o0J-GqA_9_0"/>
      <w:bookmarkStart w:id="257" w:name="Tc_xUth1W0bmEWxsKdvRMpxgw_8_12"/>
      <w:bookmarkStart w:id="258" w:name="Tc_wqZux84DnEu1_oK1JNkzgQ_8_0"/>
      <w:bookmarkStart w:id="259" w:name="Tc_jqHU9xJ3U0m3zIpE79MHqA_7_0"/>
      <w:bookmarkStart w:id="260" w:name="Tc_L0hyPyxKj0OQpmeM74qc2w_5_11"/>
      <w:bookmarkStart w:id="261" w:name="Tc_PKANae8DFkejc8dZRdUGtg_5_8"/>
      <w:bookmarkStart w:id="262" w:name="Tc_2w8kigv-a0-3QSW7B4l4XQ_5_5"/>
      <w:bookmarkStart w:id="263" w:name="Tc_Wkm6yUA6QkiVDC0vGdqbbA_5_2"/>
      <w:bookmarkStart w:id="264" w:name="Tc_yIgMFu5X1UiO7NUnxw9OwA_5_0"/>
      <w:bookmarkStart w:id="265" w:name="Tc_GJ2J_U05TkWPtg9_1IQJjg_3_11"/>
      <w:bookmarkStart w:id="266" w:name="Tc_7n4wQFpYsUq_l7FVQ8evgg_3_8"/>
      <w:bookmarkStart w:id="267" w:name="Tc_xqMo6cb6s0CLLLtv95N4Uw_3_5"/>
      <w:bookmarkStart w:id="268" w:name="Tc_fCXonuC_yEyrcKtLG4oZKw_3_2"/>
      <w:bookmarkStart w:id="269" w:name="Tc_IZD5O9JokkeokN914OKX6Q_2_8"/>
      <w:bookmarkStart w:id="270" w:name="Tc_yI65oFWgCkSKk8M3dIjGJQ_2_2"/>
      <w:bookmarkStart w:id="271" w:name="Tc_zBZgQJjd1k60aWJJkBx_ag_1_8"/>
      <w:bookmarkStart w:id="272" w:name="Tc_Y6uxi-RCu0-rVYEMzfWzkw_1_2"/>
      <w:bookmarkStart w:id="273" w:name="_a80eefb7_055d_4b96_8d75_fb251c6358d6"/>
      <w:bookmarkStart w:id="274" w:name="Tc_OOvDeYkEDEWlOkqbJTktSg_13_11"/>
      <w:bookmarkStart w:id="275" w:name="Tc_i1-vf1gLIkOUBO3oJRUWQw_13_8"/>
      <w:bookmarkStart w:id="276" w:name="Tc_dNefJP3-DECZt8RWEn_jjQ_13_5"/>
      <w:bookmarkStart w:id="277" w:name="Tc_Ww4tckkkAUKWWmOA2CCzVA_13_2"/>
      <w:bookmarkStart w:id="278" w:name="Tc_Bq_5MfUxZkWqt1yl9szi0g_13_0"/>
      <w:bookmarkStart w:id="279" w:name="Tc_pQvJzxTNbEy-qr5YiLw1lw_11_0"/>
      <w:bookmarkStart w:id="280" w:name="Tc_wFlyzKq2b0aNtd6o0J-GqA_9_0"/>
      <w:bookmarkStart w:id="281" w:name="Tc_xUth1W0bmEWxsKdvRMpxgw_8_12"/>
      <w:bookmarkStart w:id="282" w:name="Tc_wqZux84DnEu1_oK1JNkzgQ_8_0"/>
      <w:bookmarkStart w:id="283" w:name="Tc_jqHU9xJ3U0m3zIpE79MHqA_7_0"/>
      <w:bookmarkStart w:id="284" w:name="Tc_L0hyPyxKj0OQpmeM74qc2w_5_11"/>
      <w:bookmarkStart w:id="285" w:name="Tc_PKANae8DFkejc8dZRdUGtg_5_8"/>
      <w:bookmarkStart w:id="286" w:name="Tc_2w8kigv-a0-3QSW7B4l4XQ_5_5"/>
      <w:bookmarkStart w:id="287" w:name="Tc_Wkm6yUA6QkiVDC0vGdqbbA_5_2"/>
      <w:bookmarkStart w:id="288" w:name="Tc_yIgMFu5X1UiO7NUnxw9OwA_5_0"/>
      <w:bookmarkStart w:id="289" w:name="Tc_GJ2J_U05TkWPtg9_1IQJjg_3_11"/>
      <w:bookmarkStart w:id="290" w:name="Tc_7n4wQFpYsUq_l7FVQ8evgg_3_8"/>
      <w:bookmarkStart w:id="291" w:name="Tc_xqMo6cb6s0CLLLtv95N4Uw_3_5"/>
      <w:bookmarkStart w:id="292" w:name="Tc_fCXonuC_yEyrcKtLG4oZKw_3_2"/>
      <w:bookmarkStart w:id="293" w:name="Tc_IZD5O9JokkeokN914OKX6Q_2_8"/>
      <w:bookmarkStart w:id="294" w:name="Tc_yI65oFWgCkSKk8M3dIjGJQ_2_2"/>
      <w:bookmarkStart w:id="295" w:name="Tc_zBZgQJjd1k60aWJJkBx_ag_1_8"/>
      <w:bookmarkStart w:id="296" w:name="Tc_Y6uxi-RCu0-rVYEMzfWzkw_1_2"/>
      <w:bookmarkStart w:id="297" w:name="_a80eefb7_055d_4b96_8d75_fb251c6358d6"/>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tbl>
      <w:tblPr>
        <w:tblW w:w="8241" w:type="dxa"/>
        <w:jc w:val="left"/>
        <w:tblInd w:w="0" w:type="dxa"/>
        <w:tblLayout w:type="fixed"/>
        <w:tblCellMar>
          <w:top w:w="0" w:type="dxa"/>
          <w:left w:w="0" w:type="dxa"/>
          <w:bottom w:w="0" w:type="dxa"/>
          <w:right w:w="0" w:type="dxa"/>
        </w:tblCellMar>
      </w:tblPr>
      <w:tblGrid>
        <w:gridCol w:w="3886"/>
        <w:gridCol w:w="346"/>
        <w:gridCol w:w="226"/>
        <w:gridCol w:w="517"/>
        <w:gridCol w:w="372"/>
        <w:gridCol w:w="226"/>
        <w:gridCol w:w="517"/>
        <w:gridCol w:w="346"/>
        <w:gridCol w:w="211"/>
        <w:gridCol w:w="466"/>
        <w:gridCol w:w="346"/>
        <w:gridCol w:w="211"/>
        <w:gridCol w:w="571"/>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467610" cy="175260"/>
                      <wp:effectExtent l="0" t="0" r="0" b="0"/>
                      <wp:wrapNone/>
                      <wp:docPr id="45" name="Frame45"/>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3510" cy="175260"/>
                      <wp:effectExtent l="0" t="0" r="0" b="0"/>
                      <wp:wrapNone/>
                      <wp:docPr id="47" name="Frame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28295" cy="175260"/>
                      <wp:effectExtent l="0" t="0" r="0" b="0"/>
                      <wp:wrapNone/>
                      <wp:docPr id="48" name="Frame48"/>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36220" cy="175260"/>
                      <wp:effectExtent l="0" t="0" r="0" b="0"/>
                      <wp:wrapNone/>
                      <wp:docPr id="49" name="Frame49"/>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3510" cy="175260"/>
                      <wp:effectExtent l="0" t="0" r="0" b="0"/>
                      <wp:wrapNone/>
                      <wp:docPr id="50" name="Frame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28295" cy="175260"/>
                      <wp:effectExtent l="0" t="0" r="0" b="0"/>
                      <wp:wrapNone/>
                      <wp:docPr id="51" name="Frame51"/>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95910" cy="175260"/>
                      <wp:effectExtent l="0" t="0" r="0" b="0"/>
                      <wp:wrapNone/>
                      <wp:docPr id="54" name="Frame5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62585" cy="175260"/>
                      <wp:effectExtent l="0" t="0" r="0" b="0"/>
                      <wp:wrapNone/>
                      <wp:docPr id="57" name="Frame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5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80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18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2" w:type="dxa"/>
            <w:tcBorders/>
            <w:vAlign w:val="center"/>
          </w:tcPr>
          <w:p>
            <w:pPr>
              <w:pStyle w:val="TableContents"/>
              <w:bidi w:val="0"/>
              <w:spacing w:before="0" w:after="0"/>
              <w:ind w:left="0" w:right="0" w:hanging="0"/>
              <w:jc w:val="center"/>
              <w:rPr/>
            </w:pPr>
            <w:r>
              <w:rPr/>
              <w:t>  ​ ​ ​</w:t>
            </w:r>
          </w:p>
        </w:tc>
        <w:tc>
          <w:tcPr>
            <w:tcW w:w="7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824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09" w:type="dxa"/>
            <w:gridSpan w:val="11"/>
            <w:tcBorders/>
            <w:vAlign w:val="center"/>
          </w:tcPr>
          <w:p>
            <w:pPr>
              <w:pStyle w:val="TableContents"/>
              <w:bidi w:val="0"/>
              <w:spacing w:before="0" w:after="0"/>
              <w:ind w:left="0" w:right="0" w:hanging="0"/>
              <w:jc w:val="center"/>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72"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w: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5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7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51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72"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72"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Comprehensive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72"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11.0</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298" w:name="_66286b87_1a12_4fef_9c6e_8a9cc5bb02bf"/>
      <w:bookmarkEnd w:id="298"/>
      <w:r>
        <w:rPr>
          <w:rFonts w:ascii="Times New Roman;Times;serif" w:hAnsi="Times New Roman;Times;serif"/>
          <w:b/>
          <w:sz w:val="20"/>
        </w:rPr>
        <w:t>KRONOS WORLDWIDE, INC. AND SUBSIDIARIES</w:t>
      </w:r>
    </w:p>
    <w:p>
      <w:pPr>
        <w:pStyle w:val="TextBody"/>
        <w:bidi w:val="0"/>
        <w:spacing w:before="0" w:after="60"/>
        <w:ind w:left="0" w:right="0" w:hanging="0"/>
        <w:jc w:val="center"/>
        <w:rPr>
          <w:rFonts w:ascii="Times New Roman;Times;serif" w:hAnsi="Times New Roman;Times;serif"/>
          <w:b/>
          <w:sz w:val="20"/>
        </w:rPr>
      </w:pPr>
      <w:bookmarkStart w:id="299" w:name="CONDENSEDCONSOLIDATEDSTATEMENTSOFSTOCKHO"/>
      <w:bookmarkEnd w:id="299"/>
      <w:r>
        <w:rPr>
          <w:rFonts w:ascii="Times New Roman;Times;serif" w:hAnsi="Times New Roman;Times;serif"/>
          <w:b/>
          <w:sz w:val="20"/>
        </w:rPr>
        <w:t>CONDENSED CONSOLIDATED STATEMENTS OF STOCKHOLDERS’ EQUITY</w:t>
      </w:r>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20"/>
        <w:ind w:left="0" w:right="0" w:firstLine="360"/>
        <w:jc w:val="center"/>
        <w:rPr>
          <w:rFonts w:ascii="Times New Roman;Times;serif" w:hAnsi="Times New Roman;Times;serif"/>
          <w:b/>
          <w:sz w:val="20"/>
        </w:rPr>
      </w:pPr>
      <w:r>
        <w:rPr>
          <w:rFonts w:ascii="Times New Roman;Times;serif" w:hAnsi="Times New Roman;Times;serif"/>
          <w:b/>
          <w:sz w:val="20"/>
        </w:rPr>
        <w:t>(In millions)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00" w:name="Tc_4WytOvUKykaKs5dLbc8H0A_18_14"/>
      <w:bookmarkStart w:id="301" w:name="Tc_q6ZEnSqOfEm9sM8HMNYa9A_18_11"/>
      <w:bookmarkStart w:id="302" w:name="Tc_nYY519qZ2EGtTgMUPHPk8w_18_8"/>
      <w:bookmarkStart w:id="303" w:name="Tc_TUYNAw6GFUyq_XStfDGAuQ_18_5"/>
      <w:bookmarkStart w:id="304" w:name="Tc_ypuXhqsLjEyKo_LyRnyd8w_18_2"/>
      <w:bookmarkStart w:id="305" w:name="Tc_UGUy6tsWm0W9VT4-OwEeVw_18_0"/>
      <w:bookmarkStart w:id="306" w:name="Tc_-XzwlNmPHk-L7AGmHNU95Q_17_12"/>
      <w:bookmarkStart w:id="307" w:name="Tc_oqyEXmjB40eIqU_dUDxPpw_17_6"/>
      <w:bookmarkStart w:id="308" w:name="Tc_wI0ihGz2MUqt8ag8ypCOvA_17_3"/>
      <w:bookmarkStart w:id="309" w:name="Tc_R1va0fyzWkGeBi3uIP5kOw_17_0"/>
      <w:bookmarkStart w:id="310" w:name="Tc_02gDOl4qdkud2g-90zWRqw_16_12"/>
      <w:bookmarkStart w:id="311" w:name="Tc_LcSV9-LmU0SDBjaEKTIOyg_16_9"/>
      <w:bookmarkStart w:id="312" w:name="Tc_SCVzbbT19kOpbXDc2j76eA_16_3"/>
      <w:bookmarkStart w:id="313" w:name="Tc_n9sQSQ9JhEiB9hvSBhJDJw_16_0"/>
      <w:bookmarkStart w:id="314" w:name="Tc_tFZ7xP3syEWdRE_HfmokMw_15_9"/>
      <w:bookmarkStart w:id="315" w:name="Tc_JNgAsYe55kquQ7NI4ra4nQ_15_6"/>
      <w:bookmarkStart w:id="316" w:name="Tc_j4WLDW21SkG0pi90OAiLKg_15_3"/>
      <w:bookmarkStart w:id="317" w:name="Tc_m7dwE7HLgUSYdu5Vg-HE-Q_15_0"/>
      <w:bookmarkStart w:id="318" w:name="Tc_TFxy21brZka73DZyl_XJ9A_14_12"/>
      <w:bookmarkStart w:id="319" w:name="Tc_l5BJp9x8ZEaScInNRUec8Q_14_6"/>
      <w:bookmarkStart w:id="320" w:name="Tc_XvK0DMqkW0-mTvMMRlHDeg_14_3"/>
      <w:bookmarkStart w:id="321" w:name="Tc_x4MoW9tbm0626sasLgqD2g_14_0"/>
      <w:bookmarkStart w:id="322" w:name="Tc_XNuViijbzk2WkJ2z_Ynzgg_13_14"/>
      <w:bookmarkStart w:id="323" w:name="Tc_wRWD_0kEuEK5-6xz-cx1Iw_13_11"/>
      <w:bookmarkStart w:id="324" w:name="Tc__zipFTq9sEawjERrlGHf8g_13_8"/>
      <w:bookmarkStart w:id="325" w:name="Tc_uNuTYG0P3ka1T6BDJm43cg_13_5"/>
      <w:bookmarkStart w:id="326" w:name="Tc_PGPaT9Nr1Uylt2VOGE0N3g_13_2"/>
      <w:bookmarkStart w:id="327" w:name="Tc_BtaszCKyT06QA59lKwmP6g_13_0"/>
      <w:bookmarkStart w:id="328" w:name="Tc_vN6yQlNqsEONpB6dmaroJQ_11_14"/>
      <w:bookmarkStart w:id="329" w:name="Tc_NJPkG67ftEamRY4gmPP5bg_11_11"/>
      <w:bookmarkStart w:id="330" w:name="Tc_DUOT9njuIk6vzDT_dDNHhA_11_8"/>
      <w:bookmarkStart w:id="331" w:name="Tc_oiMeEtF7J0u_QEU0DPICdA_11_5"/>
      <w:bookmarkStart w:id="332" w:name="Tc_dKEflBv-uEOal0BtR5mwzw_11_2"/>
      <w:bookmarkStart w:id="333" w:name="Tc_v0rHkUX4DEmMnXnHFxJQTg_11_0"/>
      <w:bookmarkStart w:id="334" w:name="Tc_Fa1JSYf-DUi0so41jHxFYw_10_12"/>
      <w:bookmarkStart w:id="335" w:name="Tc_EgidBNRWKU-I76Ae_yYkTA_10_6"/>
      <w:bookmarkStart w:id="336" w:name="Tc_3EaMBQBwE0GBb0x0g_i6Sg_10_3"/>
      <w:bookmarkStart w:id="337" w:name="Tc_RREk1hClQkakka4NEOFWaA_10_0"/>
      <w:bookmarkStart w:id="338" w:name="Tc_2cG6THsXjEWHmwYCLTexMg_9_12"/>
      <w:bookmarkStart w:id="339" w:name="Tc_MddajIYuYUC9c2UrsvoTEQ_9_9"/>
      <w:bookmarkStart w:id="340" w:name="Tc_vRxRsg_THUWUPmwxPDUEiw_9_3"/>
      <w:bookmarkStart w:id="341" w:name="Tc_evjMxBK2YUiElVZuVyoyKw_9_0"/>
      <w:bookmarkStart w:id="342" w:name="Tc_tI06KCOASkupJIZP9cQDHg_8_9"/>
      <w:bookmarkStart w:id="343" w:name="Tc_UadrAw-loE6FM7yd5UxOUg_8_6"/>
      <w:bookmarkStart w:id="344" w:name="Tc_4LqPky2u5E6ntZop1QDclQ_8_3"/>
      <w:bookmarkStart w:id="345" w:name="Tc_FOeBLVHwi0SS5NcWLdYShw_8_0"/>
      <w:bookmarkStart w:id="346" w:name="Tc_g_U6MjQRLkCzamHlAmlpAg_7_12"/>
      <w:bookmarkStart w:id="347" w:name="Tc__oxH45u6AEyYhmhc2ssR0g_7_6"/>
      <w:bookmarkStart w:id="348" w:name="Tc_lA4H_F2mKUSU2u0Qc8JP7A_7_3"/>
      <w:bookmarkStart w:id="349" w:name="Tc_LA3a6tyzmEKLB6Lsm9srlA_7_0"/>
      <w:bookmarkStart w:id="350" w:name="Tc_onTPVp7HiE2t2D8twZb20A_6_14"/>
      <w:bookmarkStart w:id="351" w:name="Tc_m_vag6l_P0iglRdq8HJ4DQ_6_11"/>
      <w:bookmarkStart w:id="352" w:name="Tc_FA8cVpCTo0ejie7M6plRBQ_6_8"/>
      <w:bookmarkStart w:id="353" w:name="Tc_U7oOIWHm7EC-5nUAcchXAA_6_5"/>
      <w:bookmarkStart w:id="354" w:name="Tc_xg2zxfhoRUiTDeKAMaDyFw_6_2"/>
      <w:bookmarkStart w:id="355" w:name="Tc_-PcnhALOYEya4AcCf6IBBw_6_0"/>
      <w:bookmarkStart w:id="356" w:name="Tc_4YQ3X2koXE-IzQ-6UlNNIA_5_14"/>
      <w:bookmarkStart w:id="357" w:name="Tc_37tEpKfhd0uZN6-nKNoLuQ_5_11"/>
      <w:bookmarkStart w:id="358" w:name="Tc_OkNrL4G8k0OPAd7zoMelQQ_5_8"/>
      <w:bookmarkStart w:id="359" w:name="Tc_OvbdxPOUb0akSZk0aQ4SWA_5_5"/>
      <w:bookmarkStart w:id="360" w:name="Tc_mGIn8ydsNE-435X9zV0shQ_5_2"/>
      <w:bookmarkStart w:id="361" w:name="Tc_Y1bTAGefZUyF80Kdh70tvA_4_11"/>
      <w:bookmarkStart w:id="362" w:name="Tc_za5F1i3oTUuDJ2w1FsNYaQ_4_8"/>
      <w:bookmarkStart w:id="363" w:name="Tc_Rzanz9eogkKzzQZsNbvshQ_4_5"/>
      <w:bookmarkStart w:id="364" w:name="Tc_UxIeAffAukaVuzTSq7RY1A_4_2"/>
      <w:bookmarkStart w:id="365" w:name="Tc_JYUGTO84i0imHLlw7GajiA_3_11"/>
      <w:bookmarkStart w:id="366" w:name="Tc_auK4QrSA9EWNNXnaCQkVBQ_3_5"/>
      <w:bookmarkStart w:id="367" w:name="Tc_I1eiAnYd90CMaCNVpy59Vg_2_11"/>
      <w:bookmarkStart w:id="368" w:name="Tc_JR9qIrFmKUawEXVa0VwMQA_1_2"/>
      <w:bookmarkStart w:id="369" w:name="_53fe9bbe_8be8_4478_a29b_7abd461a00c6"/>
      <w:bookmarkStart w:id="370" w:name="Tc_4WytOvUKykaKs5dLbc8H0A_18_14"/>
      <w:bookmarkStart w:id="371" w:name="Tc_q6ZEnSqOfEm9sM8HMNYa9A_18_11"/>
      <w:bookmarkStart w:id="372" w:name="Tc_nYY519qZ2EGtTgMUPHPk8w_18_8"/>
      <w:bookmarkStart w:id="373" w:name="Tc_TUYNAw6GFUyq_XStfDGAuQ_18_5"/>
      <w:bookmarkStart w:id="374" w:name="Tc_ypuXhqsLjEyKo_LyRnyd8w_18_2"/>
      <w:bookmarkStart w:id="375" w:name="Tc_UGUy6tsWm0W9VT4-OwEeVw_18_0"/>
      <w:bookmarkStart w:id="376" w:name="Tc_-XzwlNmPHk-L7AGmHNU95Q_17_12"/>
      <w:bookmarkStart w:id="377" w:name="Tc_oqyEXmjB40eIqU_dUDxPpw_17_6"/>
      <w:bookmarkStart w:id="378" w:name="Tc_wI0ihGz2MUqt8ag8ypCOvA_17_3"/>
      <w:bookmarkStart w:id="379" w:name="Tc_R1va0fyzWkGeBi3uIP5kOw_17_0"/>
      <w:bookmarkStart w:id="380" w:name="Tc_02gDOl4qdkud2g-90zWRqw_16_12"/>
      <w:bookmarkStart w:id="381" w:name="Tc_LcSV9-LmU0SDBjaEKTIOyg_16_9"/>
      <w:bookmarkStart w:id="382" w:name="Tc_SCVzbbT19kOpbXDc2j76eA_16_3"/>
      <w:bookmarkStart w:id="383" w:name="Tc_n9sQSQ9JhEiB9hvSBhJDJw_16_0"/>
      <w:bookmarkStart w:id="384" w:name="Tc_tFZ7xP3syEWdRE_HfmokMw_15_9"/>
      <w:bookmarkStart w:id="385" w:name="Tc_JNgAsYe55kquQ7NI4ra4nQ_15_6"/>
      <w:bookmarkStart w:id="386" w:name="Tc_j4WLDW21SkG0pi90OAiLKg_15_3"/>
      <w:bookmarkStart w:id="387" w:name="Tc_m7dwE7HLgUSYdu5Vg-HE-Q_15_0"/>
      <w:bookmarkStart w:id="388" w:name="Tc_TFxy21brZka73DZyl_XJ9A_14_12"/>
      <w:bookmarkStart w:id="389" w:name="Tc_l5BJp9x8ZEaScInNRUec8Q_14_6"/>
      <w:bookmarkStart w:id="390" w:name="Tc_XvK0DMqkW0-mTvMMRlHDeg_14_3"/>
      <w:bookmarkStart w:id="391" w:name="Tc_x4MoW9tbm0626sasLgqD2g_14_0"/>
      <w:bookmarkStart w:id="392" w:name="Tc_XNuViijbzk2WkJ2z_Ynzgg_13_14"/>
      <w:bookmarkStart w:id="393" w:name="Tc_wRWD_0kEuEK5-6xz-cx1Iw_13_11"/>
      <w:bookmarkStart w:id="394" w:name="Tc__zipFTq9sEawjERrlGHf8g_13_8"/>
      <w:bookmarkStart w:id="395" w:name="Tc_uNuTYG0P3ka1T6BDJm43cg_13_5"/>
      <w:bookmarkStart w:id="396" w:name="Tc_PGPaT9Nr1Uylt2VOGE0N3g_13_2"/>
      <w:bookmarkStart w:id="397" w:name="Tc_BtaszCKyT06QA59lKwmP6g_13_0"/>
      <w:bookmarkStart w:id="398" w:name="Tc_vN6yQlNqsEONpB6dmaroJQ_11_14"/>
      <w:bookmarkStart w:id="399" w:name="Tc_NJPkG67ftEamRY4gmPP5bg_11_11"/>
      <w:bookmarkStart w:id="400" w:name="Tc_DUOT9njuIk6vzDT_dDNHhA_11_8"/>
      <w:bookmarkStart w:id="401" w:name="Tc_oiMeEtF7J0u_QEU0DPICdA_11_5"/>
      <w:bookmarkStart w:id="402" w:name="Tc_dKEflBv-uEOal0BtR5mwzw_11_2"/>
      <w:bookmarkStart w:id="403" w:name="Tc_v0rHkUX4DEmMnXnHFxJQTg_11_0"/>
      <w:bookmarkStart w:id="404" w:name="Tc_Fa1JSYf-DUi0so41jHxFYw_10_12"/>
      <w:bookmarkStart w:id="405" w:name="Tc_EgidBNRWKU-I76Ae_yYkTA_10_6"/>
      <w:bookmarkStart w:id="406" w:name="Tc_3EaMBQBwE0GBb0x0g_i6Sg_10_3"/>
      <w:bookmarkStart w:id="407" w:name="Tc_RREk1hClQkakka4NEOFWaA_10_0"/>
      <w:bookmarkStart w:id="408" w:name="Tc_2cG6THsXjEWHmwYCLTexMg_9_12"/>
      <w:bookmarkStart w:id="409" w:name="Tc_MddajIYuYUC9c2UrsvoTEQ_9_9"/>
      <w:bookmarkStart w:id="410" w:name="Tc_vRxRsg_THUWUPmwxPDUEiw_9_3"/>
      <w:bookmarkStart w:id="411" w:name="Tc_evjMxBK2YUiElVZuVyoyKw_9_0"/>
      <w:bookmarkStart w:id="412" w:name="Tc_tI06KCOASkupJIZP9cQDHg_8_9"/>
      <w:bookmarkStart w:id="413" w:name="Tc_UadrAw-loE6FM7yd5UxOUg_8_6"/>
      <w:bookmarkStart w:id="414" w:name="Tc_4LqPky2u5E6ntZop1QDclQ_8_3"/>
      <w:bookmarkStart w:id="415" w:name="Tc_FOeBLVHwi0SS5NcWLdYShw_8_0"/>
      <w:bookmarkStart w:id="416" w:name="Tc_g_U6MjQRLkCzamHlAmlpAg_7_12"/>
      <w:bookmarkStart w:id="417" w:name="Tc__oxH45u6AEyYhmhc2ssR0g_7_6"/>
      <w:bookmarkStart w:id="418" w:name="Tc_lA4H_F2mKUSU2u0Qc8JP7A_7_3"/>
      <w:bookmarkStart w:id="419" w:name="Tc_LA3a6tyzmEKLB6Lsm9srlA_7_0"/>
      <w:bookmarkStart w:id="420" w:name="Tc_onTPVp7HiE2t2D8twZb20A_6_14"/>
      <w:bookmarkStart w:id="421" w:name="Tc_m_vag6l_P0iglRdq8HJ4DQ_6_11"/>
      <w:bookmarkStart w:id="422" w:name="Tc_FA8cVpCTo0ejie7M6plRBQ_6_8"/>
      <w:bookmarkStart w:id="423" w:name="Tc_U7oOIWHm7EC-5nUAcchXAA_6_5"/>
      <w:bookmarkStart w:id="424" w:name="Tc_xg2zxfhoRUiTDeKAMaDyFw_6_2"/>
      <w:bookmarkStart w:id="425" w:name="Tc_-PcnhALOYEya4AcCf6IBBw_6_0"/>
      <w:bookmarkStart w:id="426" w:name="Tc_4YQ3X2koXE-IzQ-6UlNNIA_5_14"/>
      <w:bookmarkStart w:id="427" w:name="Tc_37tEpKfhd0uZN6-nKNoLuQ_5_11"/>
      <w:bookmarkStart w:id="428" w:name="Tc_OkNrL4G8k0OPAd7zoMelQQ_5_8"/>
      <w:bookmarkStart w:id="429" w:name="Tc_OvbdxPOUb0akSZk0aQ4SWA_5_5"/>
      <w:bookmarkStart w:id="430" w:name="Tc_mGIn8ydsNE-435X9zV0shQ_5_2"/>
      <w:bookmarkStart w:id="431" w:name="Tc_Y1bTAGefZUyF80Kdh70tvA_4_11"/>
      <w:bookmarkStart w:id="432" w:name="Tc_za5F1i3oTUuDJ2w1FsNYaQ_4_8"/>
      <w:bookmarkStart w:id="433" w:name="Tc_Rzanz9eogkKzzQZsNbvshQ_4_5"/>
      <w:bookmarkStart w:id="434" w:name="Tc_UxIeAffAukaVuzTSq7RY1A_4_2"/>
      <w:bookmarkStart w:id="435" w:name="Tc_JYUGTO84i0imHLlw7GajiA_3_11"/>
      <w:bookmarkStart w:id="436" w:name="Tc_auK4QrSA9EWNNXnaCQkVBQ_3_5"/>
      <w:bookmarkStart w:id="437" w:name="Tc_I1eiAnYd90CMaCNVpy59Vg_2_11"/>
      <w:bookmarkStart w:id="438" w:name="Tc_JR9qIrFmKUawEXVa0VwMQA_1_2"/>
      <w:bookmarkStart w:id="439" w:name="_53fe9bbe_8be8_4478_a29b_7abd461a00c6"/>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tbl>
      <w:tblPr>
        <w:tblW w:w="9869" w:type="dxa"/>
        <w:jc w:val="left"/>
        <w:tblInd w:w="0" w:type="dxa"/>
        <w:tblLayout w:type="fixed"/>
        <w:tblCellMar>
          <w:top w:w="0" w:type="dxa"/>
          <w:left w:w="0" w:type="dxa"/>
          <w:bottom w:w="0" w:type="dxa"/>
          <w:right w:w="0" w:type="dxa"/>
        </w:tblCellMar>
      </w:tblPr>
      <w:tblGrid>
        <w:gridCol w:w="3346"/>
        <w:gridCol w:w="346"/>
        <w:gridCol w:w="304"/>
        <w:gridCol w:w="522"/>
        <w:gridCol w:w="346"/>
        <w:gridCol w:w="211"/>
        <w:gridCol w:w="721"/>
        <w:gridCol w:w="346"/>
        <w:gridCol w:w="211"/>
        <w:gridCol w:w="691"/>
        <w:gridCol w:w="346"/>
        <w:gridCol w:w="312"/>
        <w:gridCol w:w="934"/>
        <w:gridCol w:w="346"/>
        <w:gridCol w:w="211"/>
        <w:gridCol w:w="676"/>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24710" cy="175260"/>
                      <wp:effectExtent l="0" t="0" r="0" b="0"/>
                      <wp:wrapNone/>
                      <wp:docPr id="58" name="Frame58"/>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93040" cy="175260"/>
                      <wp:effectExtent l="0" t="0" r="0" b="0"/>
                      <wp:wrapNone/>
                      <wp:docPr id="60" name="Frame60"/>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31470" cy="175260"/>
                      <wp:effectExtent l="0" t="0" r="0" b="0"/>
                      <wp:wrapNone/>
                      <wp:docPr id="61" name="Frame61"/>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57835" cy="175260"/>
                      <wp:effectExtent l="0" t="0" r="0" b="0"/>
                      <wp:wrapNone/>
                      <wp:docPr id="64" name="Frame6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785" cy="175260"/>
                      <wp:effectExtent l="0" t="0" r="0" b="0"/>
                      <wp:wrapNone/>
                      <wp:docPr id="67" name="Frame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98120" cy="175260"/>
                      <wp:effectExtent l="0" t="0" r="0" b="0"/>
                      <wp:wrapNone/>
                      <wp:docPr id="69" name="Frame69"/>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93090" cy="175260"/>
                      <wp:effectExtent l="0" t="0" r="0" b="0"/>
                      <wp:wrapNone/>
                      <wp:docPr id="70" name="Frame70"/>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9260" cy="175260"/>
                      <wp:effectExtent l="0" t="0" r="0" b="0"/>
                      <wp:wrapNone/>
                      <wp:docPr id="73" name="Frame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177"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2025 and 2026</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4" w:type="dxa"/>
            <w:tcBorders/>
            <w:vAlign w:val="center"/>
          </w:tcPr>
          <w:p>
            <w:pPr>
              <w:pStyle w:val="TableContents"/>
              <w:bidi w:val="0"/>
              <w:spacing w:before="0" w:after="1"/>
              <w:ind w:left="0" w:right="0" w:hanging="0"/>
              <w:jc w:val="left"/>
              <w:rPr/>
            </w:pPr>
            <w:r>
              <w:rPr/>
              <w:t>​</w:t>
            </w:r>
          </w:p>
        </w:tc>
        <w:tc>
          <w:tcPr>
            <w:tcW w:w="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4" w:type="dxa"/>
            <w:tcBorders/>
            <w:vAlign w:val="center"/>
          </w:tcPr>
          <w:p>
            <w:pPr>
              <w:pStyle w:val="TableContents"/>
              <w:bidi w:val="0"/>
              <w:spacing w:before="0" w:after="1"/>
              <w:ind w:left="0" w:right="0" w:hanging="0"/>
              <w:jc w:val="left"/>
              <w:rPr/>
            </w:pPr>
            <w:r>
              <w:rPr/>
              <w:t>​</w:t>
            </w:r>
          </w:p>
        </w:tc>
        <w:tc>
          <w:tcPr>
            <w:tcW w:w="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w:t>
            </w:r>
          </w:p>
        </w:tc>
        <w:tc>
          <w:tcPr>
            <w:tcW w:w="346" w:type="dxa"/>
            <w:tcBorders/>
            <w:vAlign w:val="center"/>
          </w:tcPr>
          <w:p>
            <w:pPr>
              <w:pStyle w:val="TableContents"/>
              <w:bidi w:val="0"/>
              <w:spacing w:before="0" w:after="1"/>
              <w:ind w:left="0" w:right="0" w:hanging="0"/>
              <w:jc w:val="center"/>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346" w:type="dxa"/>
            <w:tcBorders/>
            <w:vAlign w:val="center"/>
          </w:tcPr>
          <w:p>
            <w:pPr>
              <w:pStyle w:val="TableContents"/>
              <w:bidi w:val="0"/>
              <w:spacing w:before="0" w:after="1"/>
              <w:ind w:left="0" w:right="0" w:hanging="0"/>
              <w:jc w:val="center"/>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Retained</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w:t>
            </w:r>
          </w:p>
        </w:tc>
        <w:tc>
          <w:tcPr>
            <w:tcW w:w="346" w:type="dxa"/>
            <w:tcBorders/>
            <w:vAlign w:val="center"/>
          </w:tcPr>
          <w:p>
            <w:pPr>
              <w:pStyle w:val="TableContents"/>
              <w:bidi w:val="0"/>
              <w:spacing w:before="0" w:after="1"/>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deficit</w:t>
            </w:r>
          </w:p>
        </w:tc>
        <w:tc>
          <w:tcPr>
            <w:tcW w:w="346" w:type="dxa"/>
            <w:tcBorders/>
            <w:vAlign w:val="center"/>
          </w:tcPr>
          <w:p>
            <w:pPr>
              <w:pStyle w:val="TableContents"/>
              <w:bidi w:val="0"/>
              <w:spacing w:before="0" w:after="1"/>
              <w:ind w:left="0" w:right="0" w:hanging="0"/>
              <w:jc w:val="center"/>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loss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(198.7)</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847.0</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 - $.05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vAlign w:val="center"/>
          </w:tcPr>
          <w:p>
            <w:pPr>
              <w:pStyle w:val="TableContents"/>
              <w:bidi w:val="0"/>
              <w:spacing w:before="0" w:after="1"/>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w:t>
            </w:r>
          </w:p>
        </w:tc>
        <w:tc>
          <w:tcPr>
            <w:tcW w:w="346" w:type="dxa"/>
            <w:tcBorders/>
            <w:vAlign w:val="center"/>
          </w:tcPr>
          <w:p>
            <w:pPr>
              <w:pStyle w:val="TableContents"/>
              <w:bidi w:val="0"/>
              <w:spacing w:before="0" w:after="1"/>
              <w:ind w:left="0" w:right="0" w:hanging="0"/>
              <w:jc w:val="left"/>
              <w:rPr/>
            </w:pPr>
            <w:r>
              <w:rPr/>
              <w:t>​</w:t>
            </w:r>
          </w:p>
        </w:tc>
        <w:tc>
          <w:tcPr>
            <w:tcW w:w="3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846.8</w:t>
            </w:r>
          </w:p>
        </w:tc>
      </w:tr>
      <w:tr>
        <w:trPr/>
        <w:tc>
          <w:tcPr>
            <w:tcW w:w="3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w:t>
            </w:r>
          </w:p>
        </w:tc>
        <w:tc>
          <w:tcPr>
            <w:tcW w:w="52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(355.5)</w:t>
            </w:r>
          </w:p>
        </w:tc>
        <w:tc>
          <w:tcPr>
            <w:tcW w:w="34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745.0</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15.2</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15.2</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net of tax</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 - $.05 per share</w:t>
            </w:r>
          </w:p>
        </w:tc>
        <w:tc>
          <w:tcPr>
            <w:tcW w:w="346" w:type="dxa"/>
            <w:tcBorders/>
            <w:vAlign w:val="center"/>
          </w:tcPr>
          <w:p>
            <w:pPr>
              <w:pStyle w:val="TableContents"/>
              <w:bidi w:val="0"/>
              <w:spacing w:before="0" w:after="1"/>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w:t>
            </w:r>
          </w:p>
        </w:tc>
        <w:tc>
          <w:tcPr>
            <w:tcW w:w="346"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1,390.8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(346.0)</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751.0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40" w:name="Tc_VXY0iCL07kygwjXgl6EPow_18_14"/>
      <w:bookmarkStart w:id="441" w:name="Tc_acqP5UVIP0S_rrVjQWhz6w_18_11"/>
      <w:bookmarkStart w:id="442" w:name="Tc_zeeTYZ1aNU-C_dujY-OpzQ_18_8"/>
      <w:bookmarkStart w:id="443" w:name="Tc_LyOxAsIASU25P826MO-bqw_18_5"/>
      <w:bookmarkStart w:id="444" w:name="Tc_LZvRESItEUeC7PB7hcxFWw_18_2"/>
      <w:bookmarkStart w:id="445" w:name="Tc_sJ9r7Jh9dECRGxb7UqS2Rg_18_0"/>
      <w:bookmarkStart w:id="446" w:name="Tc_kY93Ewwv70aBObFbgYvPNw_17_12"/>
      <w:bookmarkStart w:id="447" w:name="Tc_kUsQddFsGUmIHonNtdeHrw_17_6"/>
      <w:bookmarkStart w:id="448" w:name="Tc_w36NLWPaKkO03ICaEt9cxw_17_3"/>
      <w:bookmarkStart w:id="449" w:name="Tc_3l8e6Vj7QEaidjU0ReoGXQ_17_0"/>
      <w:bookmarkStart w:id="450" w:name="Tc_c1VTENW-IUanR669_MIIAg_16_12"/>
      <w:bookmarkStart w:id="451" w:name="Tc_9hP3G_Rpe0G_Cxaej_84vA_16_9"/>
      <w:bookmarkStart w:id="452" w:name="Tc_OnwUwGNI7kyFvF1IhgFOZQ_16_3"/>
      <w:bookmarkStart w:id="453" w:name="Tc_7DPvhGq7TkicJxhjNIr9DA_16_0"/>
      <w:bookmarkStart w:id="454" w:name="Tc_rGUTyo7Rj0m3YwTR9TyWXg_15_9"/>
      <w:bookmarkStart w:id="455" w:name="Tc_g2XSoUFUP0iy3-eB7B_DzA_15_6"/>
      <w:bookmarkStart w:id="456" w:name="Tc_-rjNCkVeg0qlf5jhThhX_Q_15_3"/>
      <w:bookmarkStart w:id="457" w:name="Tc_osXQpItTjkeaPkrIa907Zg_15_0"/>
      <w:bookmarkStart w:id="458" w:name="Tc_RiX2TyWWBE6ugE9T0Vw3_Q_14_12"/>
      <w:bookmarkStart w:id="459" w:name="Tc_xdgIMjEoy0W7TSmfBg5_gw_14_6"/>
      <w:bookmarkStart w:id="460" w:name="Tc_r1R5q_rEt0ysbFphLjw0cA_14_3"/>
      <w:bookmarkStart w:id="461" w:name="Tc_GE_KHEWxEk2oFcAXD0c5wQ_14_0"/>
      <w:bookmarkStart w:id="462" w:name="Tc_l7y6WuzVOU-9bi_5U6N3kQ_13_14"/>
      <w:bookmarkStart w:id="463" w:name="Tc_A5oTe7U32k6Jlpckt-6ELw_13_11"/>
      <w:bookmarkStart w:id="464" w:name="Tc_6VJNb-qd4E6-qBP6v1_l9A_13_8"/>
      <w:bookmarkStart w:id="465" w:name="Tc_2V1bspO0UUWCZ_XpIroaGg_13_5"/>
      <w:bookmarkStart w:id="466" w:name="Tc_bWpOKGPiyUqB6oIsIfo3_g_13_2"/>
      <w:bookmarkStart w:id="467" w:name="Tc_1bE37kDM0Eu4Xep-tarNzw_13_0"/>
      <w:bookmarkStart w:id="468" w:name="Tc_z93yqOd3GUWMOSwDpp5JiQ_11_14"/>
      <w:bookmarkStart w:id="469" w:name="Tc_1fnoaBNcwEmDTz_v32ZTSw_11_11"/>
      <w:bookmarkStart w:id="470" w:name="Tc_H0-CNu71zkOXUVeUR9Y1bQ_11_8"/>
      <w:bookmarkStart w:id="471" w:name="Tc_TakXUppWpk-zx2UtBdeR0Q_11_5"/>
      <w:bookmarkStart w:id="472" w:name="Tc_y1Kluglad0609GRKlrJFFQ_11_2"/>
      <w:bookmarkStart w:id="473" w:name="Tc_mxsXxCoUc0uApyc796YKEg_11_0"/>
      <w:bookmarkStart w:id="474" w:name="Tc_8-My4tgpt0Oaew6-GxA1Gw_10_12"/>
      <w:bookmarkStart w:id="475" w:name="Tc_5JyVIzY9jE21oKByy5P7pw_10_6"/>
      <w:bookmarkStart w:id="476" w:name="Tc_nEkXsmnHpUO5c2sJhUUD4A_10_3"/>
      <w:bookmarkStart w:id="477" w:name="Tc_i_WeWNO-bkWh6s4vOzcVbw_10_0"/>
      <w:bookmarkStart w:id="478" w:name="Tc_i4niwjO5CkOAM0kQrRRigw_9_12"/>
      <w:bookmarkStart w:id="479" w:name="Tc_nRWhIs7NFEC7YVy-Ad7qUQ_9_9"/>
      <w:bookmarkStart w:id="480" w:name="Tc_iLV-1Ai2rEa3Rdw8ZPuXAw_9_3"/>
      <w:bookmarkStart w:id="481" w:name="Tc_lc49pA8Nm0mUrAidS9re6Q_9_0"/>
      <w:bookmarkStart w:id="482" w:name="Tc_7wEaceVmy0SiTFVSWzPJ9Q_8_9"/>
      <w:bookmarkStart w:id="483" w:name="Tc_gzInarok_USCf5zW09F5wQ_8_6"/>
      <w:bookmarkStart w:id="484" w:name="Tc_1t3IBoJVMEuCeIf9pk6x8Q_8_3"/>
      <w:bookmarkStart w:id="485" w:name="Tc_Grua_VEbQE2TN42r9cZVaQ_8_0"/>
      <w:bookmarkStart w:id="486" w:name="Tc_JdVq7m9qUUOTvda-6mJpGg_7_12"/>
      <w:bookmarkStart w:id="487" w:name="Tc_mRbT93n1uUqSrJ-lNoOSew_7_6"/>
      <w:bookmarkStart w:id="488" w:name="Tc_7LhuNhHIjkWBOoLyjhk9Bg_7_3"/>
      <w:bookmarkStart w:id="489" w:name="Tc_O3KCkjbcA0GwntCDErXezw_7_0"/>
      <w:bookmarkStart w:id="490" w:name="Tc_wVVf2TqwzUCW1SCZpC8VJA_6_14"/>
      <w:bookmarkStart w:id="491" w:name="Tc_pC79uDh8IUOgkVnGpqk0sQ_6_11"/>
      <w:bookmarkStart w:id="492" w:name="Tc_cYbeL4vchUWSuxNIeBqMZg_6_8"/>
      <w:bookmarkStart w:id="493" w:name="Tc_mpwwrXhEik-GP3OH-TY4hQ_6_5"/>
      <w:bookmarkStart w:id="494" w:name="Tc_vTnUiUUncUmSJoQWnRGlNg_6_2"/>
      <w:bookmarkStart w:id="495" w:name="Tc_uNhNVXvhZ02oO7TYE69hKg_6_0"/>
      <w:bookmarkStart w:id="496" w:name="Tc_7ftnp7K9iku0iUpGw0H32g_5_14"/>
      <w:bookmarkStart w:id="497" w:name="Tc_hBk_AcPYDEaR19Zpa5vt1g_5_11"/>
      <w:bookmarkStart w:id="498" w:name="Tc__Ma-yI1qvU6s0MH2-08dEQ_5_8"/>
      <w:bookmarkStart w:id="499" w:name="Tc_MU7r6lxJg0W1Ow27jbdDng_5_5"/>
      <w:bookmarkStart w:id="500" w:name="Tc_sIFqcpJE5Ey2Ly2ku3WmhQ_5_2"/>
      <w:bookmarkStart w:id="501" w:name="Tc_x7R-WLSVjEen-GOUFbq-kw_4_11"/>
      <w:bookmarkStart w:id="502" w:name="Tc_2j3ehF9Y-UiYIT-1kxkZ9Q_4_8"/>
      <w:bookmarkStart w:id="503" w:name="Tc_iLwvu20-d06F-S7b2GU7SQ_4_5"/>
      <w:bookmarkStart w:id="504" w:name="Tc_jlN6etFyQE2UzlIlJyNpHg_4_2"/>
      <w:bookmarkStart w:id="505" w:name="Tc_lnEguRThGka3aEQRhqcqzw_3_11"/>
      <w:bookmarkStart w:id="506" w:name="Tc_D_kY9pSN9kecRIpufNsvCQ_3_5"/>
      <w:bookmarkStart w:id="507" w:name="Tc_bGBJXJnqMkmd-asWvFNsxA_2_11"/>
      <w:bookmarkStart w:id="508" w:name="Tc_fdbQLjZSzkGhPREO2cfpvA_1_2"/>
      <w:bookmarkStart w:id="509" w:name="_dd1bbafe_cad3_4a59_8e5f_a68b9dbca7a0"/>
      <w:bookmarkStart w:id="510" w:name="Tc_VXY0iCL07kygwjXgl6EPow_18_14"/>
      <w:bookmarkStart w:id="511" w:name="Tc_acqP5UVIP0S_rrVjQWhz6w_18_11"/>
      <w:bookmarkStart w:id="512" w:name="Tc_zeeTYZ1aNU-C_dujY-OpzQ_18_8"/>
      <w:bookmarkStart w:id="513" w:name="Tc_LyOxAsIASU25P826MO-bqw_18_5"/>
      <w:bookmarkStart w:id="514" w:name="Tc_LZvRESItEUeC7PB7hcxFWw_18_2"/>
      <w:bookmarkStart w:id="515" w:name="Tc_sJ9r7Jh9dECRGxb7UqS2Rg_18_0"/>
      <w:bookmarkStart w:id="516" w:name="Tc_kY93Ewwv70aBObFbgYvPNw_17_12"/>
      <w:bookmarkStart w:id="517" w:name="Tc_kUsQddFsGUmIHonNtdeHrw_17_6"/>
      <w:bookmarkStart w:id="518" w:name="Tc_w36NLWPaKkO03ICaEt9cxw_17_3"/>
      <w:bookmarkStart w:id="519" w:name="Tc_3l8e6Vj7QEaidjU0ReoGXQ_17_0"/>
      <w:bookmarkStart w:id="520" w:name="Tc_c1VTENW-IUanR669_MIIAg_16_12"/>
      <w:bookmarkStart w:id="521" w:name="Tc_9hP3G_Rpe0G_Cxaej_84vA_16_9"/>
      <w:bookmarkStart w:id="522" w:name="Tc_OnwUwGNI7kyFvF1IhgFOZQ_16_3"/>
      <w:bookmarkStart w:id="523" w:name="Tc_7DPvhGq7TkicJxhjNIr9DA_16_0"/>
      <w:bookmarkStart w:id="524" w:name="Tc_rGUTyo7Rj0m3YwTR9TyWXg_15_9"/>
      <w:bookmarkStart w:id="525" w:name="Tc_g2XSoUFUP0iy3-eB7B_DzA_15_6"/>
      <w:bookmarkStart w:id="526" w:name="Tc_-rjNCkVeg0qlf5jhThhX_Q_15_3"/>
      <w:bookmarkStart w:id="527" w:name="Tc_osXQpItTjkeaPkrIa907Zg_15_0"/>
      <w:bookmarkStart w:id="528" w:name="Tc_RiX2TyWWBE6ugE9T0Vw3_Q_14_12"/>
      <w:bookmarkStart w:id="529" w:name="Tc_xdgIMjEoy0W7TSmfBg5_gw_14_6"/>
      <w:bookmarkStart w:id="530" w:name="Tc_r1R5q_rEt0ysbFphLjw0cA_14_3"/>
      <w:bookmarkStart w:id="531" w:name="Tc_GE_KHEWxEk2oFcAXD0c5wQ_14_0"/>
      <w:bookmarkStart w:id="532" w:name="Tc_l7y6WuzVOU-9bi_5U6N3kQ_13_14"/>
      <w:bookmarkStart w:id="533" w:name="Tc_A5oTe7U32k6Jlpckt-6ELw_13_11"/>
      <w:bookmarkStart w:id="534" w:name="Tc_6VJNb-qd4E6-qBP6v1_l9A_13_8"/>
      <w:bookmarkStart w:id="535" w:name="Tc_2V1bspO0UUWCZ_XpIroaGg_13_5"/>
      <w:bookmarkStart w:id="536" w:name="Tc_bWpOKGPiyUqB6oIsIfo3_g_13_2"/>
      <w:bookmarkStart w:id="537" w:name="Tc_1bE37kDM0Eu4Xep-tarNzw_13_0"/>
      <w:bookmarkStart w:id="538" w:name="Tc_z93yqOd3GUWMOSwDpp5JiQ_11_14"/>
      <w:bookmarkStart w:id="539" w:name="Tc_1fnoaBNcwEmDTz_v32ZTSw_11_11"/>
      <w:bookmarkStart w:id="540" w:name="Tc_H0-CNu71zkOXUVeUR9Y1bQ_11_8"/>
      <w:bookmarkStart w:id="541" w:name="Tc_TakXUppWpk-zx2UtBdeR0Q_11_5"/>
      <w:bookmarkStart w:id="542" w:name="Tc_y1Kluglad0609GRKlrJFFQ_11_2"/>
      <w:bookmarkStart w:id="543" w:name="Tc_mxsXxCoUc0uApyc796YKEg_11_0"/>
      <w:bookmarkStart w:id="544" w:name="Tc_8-My4tgpt0Oaew6-GxA1Gw_10_12"/>
      <w:bookmarkStart w:id="545" w:name="Tc_5JyVIzY9jE21oKByy5P7pw_10_6"/>
      <w:bookmarkStart w:id="546" w:name="Tc_nEkXsmnHpUO5c2sJhUUD4A_10_3"/>
      <w:bookmarkStart w:id="547" w:name="Tc_i_WeWNO-bkWh6s4vOzcVbw_10_0"/>
      <w:bookmarkStart w:id="548" w:name="Tc_i4niwjO5CkOAM0kQrRRigw_9_12"/>
      <w:bookmarkStart w:id="549" w:name="Tc_nRWhIs7NFEC7YVy-Ad7qUQ_9_9"/>
      <w:bookmarkStart w:id="550" w:name="Tc_iLV-1Ai2rEa3Rdw8ZPuXAw_9_3"/>
      <w:bookmarkStart w:id="551" w:name="Tc_lc49pA8Nm0mUrAidS9re6Q_9_0"/>
      <w:bookmarkStart w:id="552" w:name="Tc_7wEaceVmy0SiTFVSWzPJ9Q_8_9"/>
      <w:bookmarkStart w:id="553" w:name="Tc_gzInarok_USCf5zW09F5wQ_8_6"/>
      <w:bookmarkStart w:id="554" w:name="Tc_1t3IBoJVMEuCeIf9pk6x8Q_8_3"/>
      <w:bookmarkStart w:id="555" w:name="Tc_Grua_VEbQE2TN42r9cZVaQ_8_0"/>
      <w:bookmarkStart w:id="556" w:name="Tc_JdVq7m9qUUOTvda-6mJpGg_7_12"/>
      <w:bookmarkStart w:id="557" w:name="Tc_mRbT93n1uUqSrJ-lNoOSew_7_6"/>
      <w:bookmarkStart w:id="558" w:name="Tc_7LhuNhHIjkWBOoLyjhk9Bg_7_3"/>
      <w:bookmarkStart w:id="559" w:name="Tc_O3KCkjbcA0GwntCDErXezw_7_0"/>
      <w:bookmarkStart w:id="560" w:name="Tc_wVVf2TqwzUCW1SCZpC8VJA_6_14"/>
      <w:bookmarkStart w:id="561" w:name="Tc_pC79uDh8IUOgkVnGpqk0sQ_6_11"/>
      <w:bookmarkStart w:id="562" w:name="Tc_cYbeL4vchUWSuxNIeBqMZg_6_8"/>
      <w:bookmarkStart w:id="563" w:name="Tc_mpwwrXhEik-GP3OH-TY4hQ_6_5"/>
      <w:bookmarkStart w:id="564" w:name="Tc_vTnUiUUncUmSJoQWnRGlNg_6_2"/>
      <w:bookmarkStart w:id="565" w:name="Tc_uNhNVXvhZ02oO7TYE69hKg_6_0"/>
      <w:bookmarkStart w:id="566" w:name="Tc_7ftnp7K9iku0iUpGw0H32g_5_14"/>
      <w:bookmarkStart w:id="567" w:name="Tc_hBk_AcPYDEaR19Zpa5vt1g_5_11"/>
      <w:bookmarkStart w:id="568" w:name="Tc__Ma-yI1qvU6s0MH2-08dEQ_5_8"/>
      <w:bookmarkStart w:id="569" w:name="Tc_MU7r6lxJg0W1Ow27jbdDng_5_5"/>
      <w:bookmarkStart w:id="570" w:name="Tc_sIFqcpJE5Ey2Ly2ku3WmhQ_5_2"/>
      <w:bookmarkStart w:id="571" w:name="Tc_x7R-WLSVjEen-GOUFbq-kw_4_11"/>
      <w:bookmarkStart w:id="572" w:name="Tc_2j3ehF9Y-UiYIT-1kxkZ9Q_4_8"/>
      <w:bookmarkStart w:id="573" w:name="Tc_iLwvu20-d06F-S7b2GU7SQ_4_5"/>
      <w:bookmarkStart w:id="574" w:name="Tc_jlN6etFyQE2UzlIlJyNpHg_4_2"/>
      <w:bookmarkStart w:id="575" w:name="Tc_lnEguRThGka3aEQRhqcqzw_3_11"/>
      <w:bookmarkStart w:id="576" w:name="Tc_D_kY9pSN9kecRIpufNsvCQ_3_5"/>
      <w:bookmarkStart w:id="577" w:name="Tc_bGBJXJnqMkmd-asWvFNsxA_2_11"/>
      <w:bookmarkStart w:id="578" w:name="Tc_fdbQLjZSzkGhPREO2cfpvA_1_2"/>
      <w:bookmarkStart w:id="579" w:name="_dd1bbafe_cad3_4a59_8e5f_a68b9dbca7a0"/>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tbl>
      <w:tblPr>
        <w:tblW w:w="9869" w:type="dxa"/>
        <w:jc w:val="left"/>
        <w:tblInd w:w="0" w:type="dxa"/>
        <w:tblLayout w:type="fixed"/>
        <w:tblCellMar>
          <w:top w:w="0" w:type="dxa"/>
          <w:left w:w="0" w:type="dxa"/>
          <w:bottom w:w="0" w:type="dxa"/>
          <w:right w:w="0" w:type="dxa"/>
        </w:tblCellMar>
      </w:tblPr>
      <w:tblGrid>
        <w:gridCol w:w="3346"/>
        <w:gridCol w:w="346"/>
        <w:gridCol w:w="304"/>
        <w:gridCol w:w="522"/>
        <w:gridCol w:w="346"/>
        <w:gridCol w:w="211"/>
        <w:gridCol w:w="721"/>
        <w:gridCol w:w="346"/>
        <w:gridCol w:w="211"/>
        <w:gridCol w:w="691"/>
        <w:gridCol w:w="346"/>
        <w:gridCol w:w="312"/>
        <w:gridCol w:w="934"/>
        <w:gridCol w:w="346"/>
        <w:gridCol w:w="211"/>
        <w:gridCol w:w="676"/>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24710" cy="175260"/>
                      <wp:effectExtent l="0" t="0" r="0" b="0"/>
                      <wp:wrapNone/>
                      <wp:docPr id="74" name="Frame74"/>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93040" cy="175260"/>
                      <wp:effectExtent l="0" t="0" r="0" b="0"/>
                      <wp:wrapNone/>
                      <wp:docPr id="76" name="Frame76"/>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31470" cy="175260"/>
                      <wp:effectExtent l="0" t="0" r="0" b="0"/>
                      <wp:wrapNone/>
                      <wp:docPr id="77" name="Frame77"/>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57835" cy="175260"/>
                      <wp:effectExtent l="0" t="0" r="0" b="0"/>
                      <wp:wrapNone/>
                      <wp:docPr id="80" name="Frame8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38785" cy="175260"/>
                      <wp:effectExtent l="0" t="0" r="0" b="0"/>
                      <wp:wrapNone/>
                      <wp:docPr id="83" name="Frame8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98120" cy="175260"/>
                      <wp:effectExtent l="0" t="0" r="0" b="0"/>
                      <wp:wrapNone/>
                      <wp:docPr id="85" name="Frame85"/>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93090" cy="175260"/>
                      <wp:effectExtent l="0" t="0" r="0" b="0"/>
                      <wp:wrapNone/>
                      <wp:docPr id="86" name="Frame86"/>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29260" cy="175260"/>
                      <wp:effectExtent l="0" t="0" r="0" b="0"/>
                      <wp:wrapNone/>
                      <wp:docPr id="89" name="Frame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177"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2025 and 2026</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4" w:type="dxa"/>
            <w:tcBorders/>
            <w:vAlign w:val="center"/>
          </w:tcPr>
          <w:p>
            <w:pPr>
              <w:pStyle w:val="TableContents"/>
              <w:bidi w:val="0"/>
              <w:spacing w:before="0" w:after="1"/>
              <w:ind w:left="0" w:right="0" w:hanging="0"/>
              <w:jc w:val="left"/>
              <w:rPr/>
            </w:pPr>
            <w:r>
              <w:rPr/>
              <w:t>​</w:t>
            </w:r>
          </w:p>
        </w:tc>
        <w:tc>
          <w:tcPr>
            <w:tcW w:w="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4" w:type="dxa"/>
            <w:tcBorders/>
            <w:vAlign w:val="center"/>
          </w:tcPr>
          <w:p>
            <w:pPr>
              <w:pStyle w:val="TableContents"/>
              <w:bidi w:val="0"/>
              <w:spacing w:before="0" w:after="1"/>
              <w:ind w:left="0" w:right="0" w:hanging="0"/>
              <w:jc w:val="left"/>
              <w:rPr/>
            </w:pPr>
            <w:r>
              <w:rPr/>
              <w:t>​</w:t>
            </w:r>
          </w:p>
        </w:tc>
        <w:tc>
          <w:tcPr>
            <w:tcW w:w="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w:t>
            </w:r>
          </w:p>
        </w:tc>
        <w:tc>
          <w:tcPr>
            <w:tcW w:w="346" w:type="dxa"/>
            <w:tcBorders/>
            <w:vAlign w:val="center"/>
          </w:tcPr>
          <w:p>
            <w:pPr>
              <w:pStyle w:val="TableContents"/>
              <w:bidi w:val="0"/>
              <w:spacing w:before="0" w:after="1"/>
              <w:ind w:left="0" w:right="0" w:hanging="0"/>
              <w:jc w:val="center"/>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346" w:type="dxa"/>
            <w:tcBorders/>
            <w:vAlign w:val="center"/>
          </w:tcPr>
          <w:p>
            <w:pPr>
              <w:pStyle w:val="TableContents"/>
              <w:bidi w:val="0"/>
              <w:spacing w:before="0" w:after="1"/>
              <w:ind w:left="0" w:right="0" w:hanging="0"/>
              <w:jc w:val="center"/>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Retained</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w:t>
            </w:r>
          </w:p>
        </w:tc>
        <w:tc>
          <w:tcPr>
            <w:tcW w:w="346" w:type="dxa"/>
            <w:tcBorders/>
            <w:vAlign w:val="center"/>
          </w:tcPr>
          <w:p>
            <w:pPr>
              <w:pStyle w:val="TableContents"/>
              <w:bidi w:val="0"/>
              <w:spacing w:before="0" w:after="1"/>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deficit</w:t>
            </w:r>
          </w:p>
        </w:tc>
        <w:tc>
          <w:tcPr>
            <w:tcW w:w="346" w:type="dxa"/>
            <w:tcBorders/>
            <w:vAlign w:val="center"/>
          </w:tcPr>
          <w:p>
            <w:pPr>
              <w:pStyle w:val="TableContents"/>
              <w:bidi w:val="0"/>
              <w:spacing w:before="0" w:after="1"/>
              <w:ind w:left="0" w:right="0" w:hanging="0"/>
              <w:jc w:val="center"/>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loss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(211.0)</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817.0</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 - $.10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vAlign w:val="center"/>
          </w:tcPr>
          <w:p>
            <w:pPr>
              <w:pStyle w:val="TableContents"/>
              <w:bidi w:val="0"/>
              <w:spacing w:before="0" w:after="1"/>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w:t>
            </w:r>
          </w:p>
        </w:tc>
        <w:tc>
          <w:tcPr>
            <w:tcW w:w="346" w:type="dxa"/>
            <w:tcBorders/>
            <w:vAlign w:val="center"/>
          </w:tcPr>
          <w:p>
            <w:pPr>
              <w:pStyle w:val="TableContents"/>
              <w:bidi w:val="0"/>
              <w:spacing w:before="0" w:after="1"/>
              <w:ind w:left="0" w:right="0" w:hanging="0"/>
              <w:jc w:val="left"/>
              <w:rPr/>
            </w:pPr>
            <w:r>
              <w:rPr/>
              <w:t>​</w:t>
            </w:r>
          </w:p>
        </w:tc>
        <w:tc>
          <w:tcPr>
            <w:tcW w:w="3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846.8</w:t>
            </w:r>
          </w:p>
        </w:tc>
      </w:tr>
      <w:tr>
        <w:trPr/>
        <w:tc>
          <w:tcPr>
            <w:tcW w:w="3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w:t>
            </w:r>
          </w:p>
        </w:tc>
        <w:tc>
          <w:tcPr>
            <w:tcW w:w="52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(344.9)</w:t>
            </w:r>
          </w:p>
        </w:tc>
        <w:tc>
          <w:tcPr>
            <w:tcW w:w="34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751.1</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 - $.10 per share</w:t>
            </w:r>
          </w:p>
        </w:tc>
        <w:tc>
          <w:tcPr>
            <w:tcW w:w="346" w:type="dxa"/>
            <w:tcBorders/>
            <w:vAlign w:val="center"/>
          </w:tcPr>
          <w:p>
            <w:pPr>
              <w:pStyle w:val="TableContents"/>
              <w:bidi w:val="0"/>
              <w:spacing w:before="0" w:after="1"/>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w:t>
            </w:r>
          </w:p>
        </w:tc>
        <w:tc>
          <w:tcPr>
            <w:tcW w:w="346"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1,390.8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(346.0)</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751.0</w:t>
            </w:r>
          </w:p>
        </w:tc>
      </w:tr>
    </w:tbl>
    <w:p>
      <w:pPr>
        <w:pStyle w:val="TextBody"/>
        <w:bidi w:val="0"/>
        <w:spacing w:before="0" w:after="240"/>
        <w:ind w:left="0" w:right="0" w:hanging="0"/>
        <w:jc w:val="both"/>
        <w:rPr/>
      </w:pPr>
      <w:r>
        <w:rPr/>
        <w:t>​</w:t>
      </w:r>
    </w:p>
    <w:p>
      <w:pPr>
        <w:pStyle w:val="TextBody"/>
        <w:bidi w:val="0"/>
        <w:spacing w:before="10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firstLine="36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580" w:name="_a4e17c67_2e18_4d26_8f2c_f74f0cc49da1"/>
      <w:bookmarkEnd w:id="580"/>
      <w:r>
        <w:rPr>
          <w:rFonts w:ascii="Times New Roman;Times;serif" w:hAnsi="Times New Roman;Times;serif"/>
          <w:b/>
          <w:sz w:val="20"/>
        </w:rPr>
        <w:t>KRONOS WORLDWIDE, INC. AND SUBSIDIARIES</w:t>
      </w:r>
    </w:p>
    <w:p>
      <w:pPr>
        <w:pStyle w:val="TextBody"/>
        <w:bidi w:val="0"/>
        <w:spacing w:before="0" w:after="60"/>
        <w:ind w:left="0" w:right="0" w:hanging="0"/>
        <w:jc w:val="center"/>
        <w:rPr>
          <w:rFonts w:ascii="Times New Roman;Times;serif" w:hAnsi="Times New Roman;Times;serif"/>
          <w:b/>
          <w:sz w:val="20"/>
        </w:rPr>
      </w:pPr>
      <w:bookmarkStart w:id="581" w:name="CASHFLOWS_797268"/>
      <w:bookmarkEnd w:id="581"/>
      <w:r>
        <w:rPr>
          <w:rFonts w:ascii="Times New Roman;Times;serif" w:hAnsi="Times New Roman;Times;serif"/>
          <w:b/>
          <w:sz w:val="20"/>
        </w:rPr>
        <w:t>CONDENSED CONSOLIDATED STATEMENTS OF CASH FLOWS</w:t>
      </w:r>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(In millions)</w:t>
      </w:r>
    </w:p>
    <w:p>
      <w:pPr>
        <w:pStyle w:val="Normal"/>
        <w:bidi w:val="0"/>
        <w:spacing w:before="0" w:after="0"/>
        <w:jc w:val="left"/>
        <w:rPr>
          <w:sz w:val="4"/>
          <w:szCs w:val="4"/>
        </w:rPr>
      </w:pPr>
      <w:r>
        <w:rPr>
          <w:sz w:val="4"/>
          <w:szCs w:val="4"/>
        </w:rPr>
      </w:r>
      <w:bookmarkStart w:id="582" w:name="Tc_aPrFRMrpIkGsDTZ6pZ9Apw_45_0"/>
      <w:bookmarkStart w:id="583" w:name="Tc_3nEUGzG4GEuH_WwAl7y9zA_44_0"/>
      <w:bookmarkStart w:id="584" w:name="Tc_15XxO69jPEKfEXPeuVy35w_43_5"/>
      <w:bookmarkStart w:id="585" w:name="Tc_FlO3AmMmlk-i0xos64AMag_43_2"/>
      <w:bookmarkStart w:id="586" w:name="Tc_6imPs9Ia_0SbSUipwbiQwA_43_0"/>
      <w:bookmarkStart w:id="587" w:name="Tc_7Oiv6JJFX0KttVSj5SXfEQ_42_0"/>
      <w:bookmarkStart w:id="588" w:name="Tc_MccpOJWeDkmi7aKp_CyhdA_41_0"/>
      <w:bookmarkStart w:id="589" w:name="Tc_e2wWHYoDmUaPNrKUeqx66w_39_5"/>
      <w:bookmarkStart w:id="590" w:name="Tc_KCLbfkRE-UmQcHCCX_6J2A_39_2"/>
      <w:bookmarkStart w:id="591" w:name="Tc_ykRAB47V6EivfiaD9kSSzQ_39_0"/>
      <w:bookmarkStart w:id="592" w:name="Tc_OVu7TDllgkiSZEllmU739A_37_0"/>
      <w:bookmarkStart w:id="593" w:name="Tc_rGmJX_UVOEKi6VMLG5RWMg_36_0"/>
      <w:bookmarkStart w:id="594" w:name="Tc_HtfMArghPESXHYI9jOfUlw_35_0"/>
      <w:bookmarkStart w:id="595" w:name="Tc_pp2mPO0_bkSsytSBh0TilA_34_0"/>
      <w:bookmarkStart w:id="596" w:name="Tc_q-Akq0m1KkKGstQRWxkT7A_32_0"/>
      <w:bookmarkStart w:id="597" w:name="Tc_Qc_fGaJWE0iASc4TKbCHPw_30_0"/>
      <w:bookmarkStart w:id="598" w:name="Tc_SmCCidwhz0u3iEbHbuT5kg_29_0"/>
      <w:bookmarkStart w:id="599" w:name="Tc_8uMHTOL5IUOactdv6hrcwQ_28_0"/>
      <w:bookmarkStart w:id="600" w:name="Tc_FXWMH1TN1kSczlpMsGBrFA_27_0"/>
      <w:bookmarkStart w:id="601" w:name="Tc_ln7UmKREL0OBQTGhsi4EXw_26_0"/>
      <w:bookmarkStart w:id="602" w:name="Tc_VXT4o08qK0m7EIqEkuSEUw_24_0"/>
      <w:bookmarkStart w:id="603" w:name="Tc_8HpbxOMAcUyQ6awboi0Atg_22_0"/>
      <w:bookmarkStart w:id="604" w:name="Tc_cr2gIPIRa0aB_0Zc9WF-mw_20_0"/>
      <w:bookmarkStart w:id="605" w:name="Tc_BjlRL57Hskmil_DAtgXFiQ_19_0"/>
      <w:bookmarkStart w:id="606" w:name="Tc_dm3tfin3kE6jEBsCCfEShQ_18_0"/>
      <w:bookmarkStart w:id="607" w:name="Tc_MOyxNo_oJUS8KvoNjXnnTA_17_0"/>
      <w:bookmarkStart w:id="608" w:name="Tc_PUll36smW0S1kcrIOSAY7g_16_0"/>
      <w:bookmarkStart w:id="609" w:name="Tc_gBAQXu7R2UGcCDVx21LKnQ_15_0"/>
      <w:bookmarkStart w:id="610" w:name="Tc_jakstExSNkCRjq7gHl_vIQ_14_0"/>
      <w:bookmarkStart w:id="611" w:name="Tc_UjvHPGwgdkCB5qwC6TqCAA_13_0"/>
      <w:bookmarkStart w:id="612" w:name="Tc_GgspnZ4uTEO2yy_3UmSing_12_0"/>
      <w:bookmarkStart w:id="613" w:name="Tc_tbUJt7QjEEOM6OVP9y3CkA_11_0"/>
      <w:bookmarkStart w:id="614" w:name="Tc_O8ZzXuRv3Emms24SFO4_Lw_10_0"/>
      <w:bookmarkStart w:id="615" w:name="Tc_7HpLhWTw_ECIsUe29vzoeQ_9_3"/>
      <w:bookmarkStart w:id="616" w:name="Tc_bshso_IlwUScrWGIYlbprQ_9_0"/>
      <w:bookmarkStart w:id="617" w:name="Tc_KZm81hLjqEql4enjGxuuyQ_8_0"/>
      <w:bookmarkStart w:id="618" w:name="Tc_vGrzu_8ubUGhLYzzOYpixQ_7_0"/>
      <w:bookmarkStart w:id="619" w:name="Tc_Y4AhHIEz7kWvc3HyKzS-5Q_6_5"/>
      <w:bookmarkStart w:id="620" w:name="Tc_Tjjbznz3jUy15JNE-LxHsw_6_2"/>
      <w:bookmarkStart w:id="621" w:name="Tc_w1yawT3PyEqLrMdFuLmBHA_6_0"/>
      <w:bookmarkStart w:id="622" w:name="Tc_6E8ed-huKkizlXIF59KvGQ_5_0"/>
      <w:bookmarkStart w:id="623" w:name="Tc_ztVsrIWNxUqPC1Od2_Lflg_3_5"/>
      <w:bookmarkStart w:id="624" w:name="Tc_vPVW-37wXEqAQ5Kr89LJHw_3_2"/>
      <w:bookmarkStart w:id="625" w:name="Tc_DRjDoabcck-aYxhe1QSVBg_2_2"/>
      <w:bookmarkStart w:id="626" w:name="Tc_v9IJFHxM7EaQ5Mu19gusug_1_2"/>
      <w:bookmarkStart w:id="627" w:name="_bc749ff5_87e0_432c_beec_ab6f5d5d13c4"/>
      <w:bookmarkStart w:id="628" w:name="Tc_aPrFRMrpIkGsDTZ6pZ9Apw_45_0"/>
      <w:bookmarkStart w:id="629" w:name="Tc_3nEUGzG4GEuH_WwAl7y9zA_44_0"/>
      <w:bookmarkStart w:id="630" w:name="Tc_15XxO69jPEKfEXPeuVy35w_43_5"/>
      <w:bookmarkStart w:id="631" w:name="Tc_FlO3AmMmlk-i0xos64AMag_43_2"/>
      <w:bookmarkStart w:id="632" w:name="Tc_6imPs9Ia_0SbSUipwbiQwA_43_0"/>
      <w:bookmarkStart w:id="633" w:name="Tc_7Oiv6JJFX0KttVSj5SXfEQ_42_0"/>
      <w:bookmarkStart w:id="634" w:name="Tc_MccpOJWeDkmi7aKp_CyhdA_41_0"/>
      <w:bookmarkStart w:id="635" w:name="Tc_e2wWHYoDmUaPNrKUeqx66w_39_5"/>
      <w:bookmarkStart w:id="636" w:name="Tc_KCLbfkRE-UmQcHCCX_6J2A_39_2"/>
      <w:bookmarkStart w:id="637" w:name="Tc_ykRAB47V6EivfiaD9kSSzQ_39_0"/>
      <w:bookmarkStart w:id="638" w:name="Tc_OVu7TDllgkiSZEllmU739A_37_0"/>
      <w:bookmarkStart w:id="639" w:name="Tc_rGmJX_UVOEKi6VMLG5RWMg_36_0"/>
      <w:bookmarkStart w:id="640" w:name="Tc_HtfMArghPESXHYI9jOfUlw_35_0"/>
      <w:bookmarkStart w:id="641" w:name="Tc_pp2mPO0_bkSsytSBh0TilA_34_0"/>
      <w:bookmarkStart w:id="642" w:name="Tc_q-Akq0m1KkKGstQRWxkT7A_32_0"/>
      <w:bookmarkStart w:id="643" w:name="Tc_Qc_fGaJWE0iASc4TKbCHPw_30_0"/>
      <w:bookmarkStart w:id="644" w:name="Tc_SmCCidwhz0u3iEbHbuT5kg_29_0"/>
      <w:bookmarkStart w:id="645" w:name="Tc_8uMHTOL5IUOactdv6hrcwQ_28_0"/>
      <w:bookmarkStart w:id="646" w:name="Tc_FXWMH1TN1kSczlpMsGBrFA_27_0"/>
      <w:bookmarkStart w:id="647" w:name="Tc_ln7UmKREL0OBQTGhsi4EXw_26_0"/>
      <w:bookmarkStart w:id="648" w:name="Tc_VXT4o08qK0m7EIqEkuSEUw_24_0"/>
      <w:bookmarkStart w:id="649" w:name="Tc_8HpbxOMAcUyQ6awboi0Atg_22_0"/>
      <w:bookmarkStart w:id="650" w:name="Tc_cr2gIPIRa0aB_0Zc9WF-mw_20_0"/>
      <w:bookmarkStart w:id="651" w:name="Tc_BjlRL57Hskmil_DAtgXFiQ_19_0"/>
      <w:bookmarkStart w:id="652" w:name="Tc_dm3tfin3kE6jEBsCCfEShQ_18_0"/>
      <w:bookmarkStart w:id="653" w:name="Tc_MOyxNo_oJUS8KvoNjXnnTA_17_0"/>
      <w:bookmarkStart w:id="654" w:name="Tc_PUll36smW0S1kcrIOSAY7g_16_0"/>
      <w:bookmarkStart w:id="655" w:name="Tc_gBAQXu7R2UGcCDVx21LKnQ_15_0"/>
      <w:bookmarkStart w:id="656" w:name="Tc_jakstExSNkCRjq7gHl_vIQ_14_0"/>
      <w:bookmarkStart w:id="657" w:name="Tc_UjvHPGwgdkCB5qwC6TqCAA_13_0"/>
      <w:bookmarkStart w:id="658" w:name="Tc_GgspnZ4uTEO2yy_3UmSing_12_0"/>
      <w:bookmarkStart w:id="659" w:name="Tc_tbUJt7QjEEOM6OVP9y3CkA_11_0"/>
      <w:bookmarkStart w:id="660" w:name="Tc_O8ZzXuRv3Emms24SFO4_Lw_10_0"/>
      <w:bookmarkStart w:id="661" w:name="Tc_7HpLhWTw_ECIsUe29vzoeQ_9_3"/>
      <w:bookmarkStart w:id="662" w:name="Tc_bshso_IlwUScrWGIYlbprQ_9_0"/>
      <w:bookmarkStart w:id="663" w:name="Tc_KZm81hLjqEql4enjGxuuyQ_8_0"/>
      <w:bookmarkStart w:id="664" w:name="Tc_vGrzu_8ubUGhLYzzOYpixQ_7_0"/>
      <w:bookmarkStart w:id="665" w:name="Tc_Y4AhHIEz7kWvc3HyKzS-5Q_6_5"/>
      <w:bookmarkStart w:id="666" w:name="Tc_Tjjbznz3jUy15JNE-LxHsw_6_2"/>
      <w:bookmarkStart w:id="667" w:name="Tc_w1yawT3PyEqLrMdFuLmBHA_6_0"/>
      <w:bookmarkStart w:id="668" w:name="Tc_6E8ed-huKkizlXIF59KvGQ_5_0"/>
      <w:bookmarkStart w:id="669" w:name="Tc_ztVsrIWNxUqPC1Od2_Lflg_3_5"/>
      <w:bookmarkStart w:id="670" w:name="Tc_vPVW-37wXEqAQ5Kr89LJHw_3_2"/>
      <w:bookmarkStart w:id="671" w:name="Tc_DRjDoabcck-aYxhe1QSVBg_2_2"/>
      <w:bookmarkStart w:id="672" w:name="Tc_v9IJFHxM7EaQ5Mu19gusug_1_2"/>
      <w:bookmarkStart w:id="673" w:name="_bc749ff5_87e0_432c_beec_ab6f5d5d13c4"/>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tbl>
      <w:tblPr>
        <w:tblW w:w="7567" w:type="dxa"/>
        <w:jc w:val="left"/>
        <w:tblInd w:w="0" w:type="dxa"/>
        <w:tblLayout w:type="fixed"/>
        <w:tblCellMar>
          <w:top w:w="0" w:type="dxa"/>
          <w:left w:w="0" w:type="dxa"/>
          <w:bottom w:w="0" w:type="dxa"/>
          <w:right w:w="0" w:type="dxa"/>
        </w:tblCellMar>
      </w:tblPr>
      <w:tblGrid>
        <w:gridCol w:w="5026"/>
        <w:gridCol w:w="346"/>
        <w:gridCol w:w="211"/>
        <w:gridCol w:w="691"/>
        <w:gridCol w:w="346"/>
        <w:gridCol w:w="211"/>
        <w:gridCol w:w="73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191510" cy="175260"/>
                      <wp:effectExtent l="0" t="0" r="0" b="0"/>
                      <wp:wrapNone/>
                      <wp:docPr id="90" name="Frame90"/>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38785" cy="175260"/>
                      <wp:effectExtent l="0" t="0" r="0" b="0"/>
                      <wp:wrapNone/>
                      <wp:docPr id="93" name="Frame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67360" cy="175260"/>
                      <wp:effectExtent l="0" t="0" r="0" b="0"/>
                      <wp:wrapNone/>
                      <wp:docPr id="96" name="Frame9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95" w:type="dxa"/>
            <w:gridSpan w:val="5"/>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 xml:space="preserve">Six months ended </w:t>
            </w:r>
          </w:p>
        </w:tc>
      </w:tr>
      <w:tr>
        <w:trPr/>
        <w:tc>
          <w:tcPr>
            <w:tcW w:w="5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June 30, </w:t>
            </w:r>
          </w:p>
        </w:tc>
      </w:tr>
      <w:tr>
        <w:trPr/>
        <w:tc>
          <w:tcPr>
            <w:tcW w:w="5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346" w:type="dxa"/>
            <w:tcBorders/>
            <w:vAlign w:val="center"/>
          </w:tcPr>
          <w:p>
            <w:pPr>
              <w:pStyle w:val="TableContents"/>
              <w:bidi w:val="0"/>
              <w:spacing w:before="0" w:after="1"/>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2026</w:t>
            </w:r>
          </w:p>
        </w:tc>
      </w:tr>
      <w:tr>
        <w:trPr/>
        <w:tc>
          <w:tcPr>
            <w:tcW w:w="756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95" w:type="dxa"/>
            <w:gridSpan w:val="5"/>
            <w:tcBorders/>
            <w:vAlign w:val="center"/>
          </w:tcPr>
          <w:p>
            <w:pPr>
              <w:pStyle w:val="TableContents"/>
              <w:bidi w:val="0"/>
              <w:spacing w:before="0" w:after="1"/>
              <w:ind w:left="0" w:right="0" w:hanging="0"/>
              <w:jc w:val="center"/>
              <w:rPr/>
            </w:pPr>
            <w:r>
              <w:rPr/>
              <w:t>​</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10.4</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31.2</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Amortization of operating lease right-of-use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2.3</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6.1</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Benefit plan expense less than cash funding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Marketable equity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Change in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and other receivables,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(111.7)</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Inventories,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120.6</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Prepaid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18.5</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payable and accrued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(67.8)</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(10.0)</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with affiliates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5.5</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(2.1)</w:t>
            </w:r>
          </w:p>
        </w:tc>
      </w:tr>
      <w:tr>
        <w:trPr/>
        <w:tc>
          <w:tcPr>
            <w:tcW w:w="50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cash provided by (used in)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2.0</w:t>
            </w:r>
          </w:p>
        </w:tc>
      </w:tr>
      <w:tr>
        <w:trPr/>
        <w:tc>
          <w:tcPr>
            <w:tcW w:w="50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flows from investing activities - capital expenditures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(26.3)</w:t>
            </w:r>
          </w:p>
        </w:tc>
      </w:tr>
      <w:tr>
        <w:trPr/>
        <w:tc>
          <w:tcPr>
            <w:tcW w:w="50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Revolving credit facility: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Borrowings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283.7</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(255.3)</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Dividends paid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(11.5)</w:t>
            </w:r>
          </w:p>
        </w:tc>
      </w:tr>
      <w:tr>
        <w:trPr/>
        <w:tc>
          <w:tcPr>
            <w:tcW w:w="50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cash provided by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16.9</w:t>
            </w:r>
          </w:p>
        </w:tc>
      </w:tr>
      <w:tr>
        <w:trPr/>
        <w:tc>
          <w:tcPr>
            <w:tcW w:w="50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 net change from:</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  ​</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Operating, investing and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(7.4)</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Effect of currency exchange rate changes on cash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(.6)</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Balance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42.5</w:t>
            </w:r>
          </w:p>
        </w:tc>
      </w:tr>
      <w:tr>
        <w:trPr/>
        <w:tc>
          <w:tcPr>
            <w:tcW w:w="5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Balance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34.5</w:t>
            </w:r>
          </w:p>
        </w:tc>
      </w:tr>
      <w:tr>
        <w:trPr/>
        <w:tc>
          <w:tcPr>
            <w:tcW w:w="5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Supplemental disclosures: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paid for: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Interest, net of amount capitalized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28.7</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17.8</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Accrual for capital expenditures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60" w:hanging="0"/>
              <w:jc w:val="right"/>
              <w:rPr>
                <w:rFonts w:ascii="Times New Roman;Times;serif" w:hAnsi="Times New Roman;Times;serif"/>
                <w:b/>
                <w:sz w:val="19"/>
              </w:rPr>
            </w:pPr>
            <w:r>
              <w:rPr>
                <w:rFonts w:ascii="Times New Roman;Times;serif" w:hAnsi="Times New Roman;Times;serif"/>
                <w:b/>
                <w:sz w:val="19"/>
              </w:rPr>
              <w:t>1.0</w:t>
            </w:r>
          </w:p>
        </w:tc>
      </w:tr>
    </w:tbl>
    <w:p>
      <w:pPr>
        <w:pStyle w:val="TextBody"/>
        <w:bidi w:val="0"/>
        <w:spacing w:before="0" w:after="240"/>
        <w:ind w:left="0" w:right="0" w:hanging="0"/>
        <w:jc w:val="both"/>
        <w:rPr/>
      </w:pPr>
      <w:r>
        <w:rPr/>
        <w:t>​</w:t>
      </w:r>
    </w:p>
    <w:p>
      <w:pPr>
        <w:pStyle w:val="TextBody"/>
        <w:bidi w:val="0"/>
        <w:spacing w:before="10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firstLine="360"/>
        <w:jc w:val="center"/>
        <w:rPr>
          <w:rFonts w:ascii="Times New Roman;Times;serif" w:hAnsi="Times New Roman;Times;serif"/>
          <w:b/>
          <w:sz w:val="20"/>
        </w:rPr>
      </w:pPr>
      <w:bookmarkStart w:id="674" w:name="_5b6ea93b_e949_4b6f_8ea1_424472e75fcf"/>
      <w:bookmarkEnd w:id="674"/>
      <w:r>
        <w:rPr>
          <w:rFonts w:ascii="Times New Roman;Times;serif" w:hAnsi="Times New Roman;Times;serif"/>
          <w:b/>
          <w:sz w:val="20"/>
        </w:rPr>
        <w:t>KRONOS WORLDWIDE, INC. AND SUBSIDIARIES</w:t>
      </w:r>
    </w:p>
    <w:p>
      <w:pPr>
        <w:pStyle w:val="TextBody"/>
        <w:bidi w:val="0"/>
        <w:spacing w:before="0" w:after="240"/>
        <w:ind w:left="0" w:right="0" w:firstLine="360"/>
        <w:jc w:val="center"/>
        <w:rPr/>
      </w:pPr>
      <w:r>
        <w:rPr/>
        <w:t>​</w:t>
      </w:r>
    </w:p>
    <w:p>
      <w:pPr>
        <w:pStyle w:val="TextBody"/>
        <w:bidi w:val="0"/>
        <w:spacing w:before="0" w:after="0"/>
        <w:ind w:left="0" w:right="0" w:hanging="0"/>
        <w:jc w:val="center"/>
        <w:rPr>
          <w:rFonts w:ascii="Times New Roman;Times;serif" w:hAnsi="Times New Roman;Times;serif"/>
          <w:b/>
          <w:sz w:val="20"/>
        </w:rPr>
      </w:pPr>
      <w:bookmarkStart w:id="675" w:name="NOTESTOCONDENSEDCONSOLIDATEDFINANCIALSTA"/>
      <w:bookmarkEnd w:id="675"/>
      <w:r>
        <w:rPr>
          <w:rFonts w:ascii="Times New Roman;Times;serif" w:hAnsi="Times New Roman;Times;serif"/>
          <w:b/>
          <w:sz w:val="20"/>
        </w:rPr>
        <w:t>NOTES TO CONDENSED CONSOLIDATED FINANCIAL STATEMENTS</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June 30, 2026</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240" w:after="120"/>
        <w:ind w:left="0" w:right="0" w:hanging="0"/>
        <w:jc w:val="left"/>
        <w:rPr>
          <w:rFonts w:ascii="Times New Roman;Times;serif" w:hAnsi="Times New Roman;Times;serif"/>
          <w:b/>
          <w:sz w:val="20"/>
        </w:rPr>
      </w:pPr>
      <w:r>
        <w:rPr>
          <w:rFonts w:ascii="Times New Roman;Times;serif" w:hAnsi="Times New Roman;Times;serif"/>
          <w:b/>
          <w:sz w:val="20"/>
        </w:rPr>
        <w:t>Note 1 - Organization and 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color w:val="212529"/>
          <w:sz w:val="20"/>
        </w:rPr>
        <w:t>Organization </w:t>
      </w:r>
      <w:r>
        <w:rPr>
          <w:rFonts w:ascii="Times New Roman;Times;serif" w:hAnsi="Times New Roman;Times;serif"/>
          <w:sz w:val="20"/>
        </w:rPr>
        <w:t>-</w:t>
      </w:r>
      <w:r>
        <w:rPr>
          <w:rFonts w:ascii="Times New Roman;Times;serif" w:hAnsi="Times New Roman;Times;serif"/>
          <w:color w:val="212529"/>
          <w:sz w:val="20"/>
        </w:rPr>
        <w:t> </w:t>
      </w:r>
      <w:r>
        <w:rPr>
          <w:rFonts w:ascii="Times New Roman;Times;serif" w:hAnsi="Times New Roman;Times;serif"/>
          <w:sz w:val="20"/>
        </w:rPr>
        <w:t>At June 30, 2026 Valhi, Inc. (NYSE: VHI) held approximately 50% of our outstanding common stock and a wholly-owned subsidiary of NLI Holdings, Inc. (formerly NL Industries, Inc.) (NYSE: NL) held approximately 31% of our common stock. Valhi owned approximately 83% of NLI’s outstanding common stock and a wholly-owned subsidiary of Contran Corporation held approximately 91% of Valhi’s outstanding common stock. A majority of Contran’s outstanding voting stock is held directly by Lisa K. Simmons and by family stockholders (</w:t>
      </w:r>
      <w:r>
        <w:rPr>
          <w:rFonts w:ascii="Times New Roman;Times;serif" w:hAnsi="Times New Roman;Times;serif"/>
          <w:sz w:val="20"/>
          <w:shd w:fill="FFFFFF" w:val="clear"/>
        </w:rPr>
        <w:t>Thomas C. Connelly (the husband of Ms. Simmons’ late sister),</w:t>
      </w:r>
      <w:r>
        <w:rPr>
          <w:rFonts w:ascii="Times New Roman;Times;serif" w:hAnsi="Times New Roman;Times;serif"/>
          <w:sz w:val="20"/>
        </w:rPr>
        <w:t xml:space="preserve"> a family-owned entity and various family trusts established for the benefit of Ms. Simmons, Mr. Connelly and their children</w:t>
      </w:r>
      <w:r>
        <w:rPr>
          <w:rFonts w:ascii="Times New Roman;Times;serif" w:hAnsi="Times New Roman;Times;serif"/>
          <w:color w:val="212529"/>
          <w:sz w:val="20"/>
        </w:rPr>
        <w:t>)</w:t>
      </w:r>
      <w:r>
        <w:rPr>
          <w:rFonts w:ascii="Times New Roman;Times;serif" w:hAnsi="Times New Roman;Times;serif"/>
          <w:sz w:val="20"/>
        </w:rPr>
        <w:t xml:space="preserve"> who are</w:t>
      </w:r>
      <w:r>
        <w:rPr>
          <w:rFonts w:ascii="Times New Roman;Times;serif" w:hAnsi="Times New Roman;Times;serif"/>
          <w:color w:val="212529"/>
          <w:sz w:val="20"/>
        </w:rPr>
        <w:t xml:space="preserve"> required to vote their shares of Contran voting stock in the same manner as Ms. Simmons.</w:t>
      </w:r>
      <w:r>
        <w:rPr>
          <w:rFonts w:ascii="Times New Roman;Times;serif" w:hAnsi="Times New Roman;Times;serif"/>
          <w:sz w:val="20"/>
        </w:rPr>
        <w:t xml:space="preserve">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June 30, 2026, Ms. Simmons and the Family Trust may be deemed to control Contran, and therefore may be deemed to indirectly control the wholly-owned subsidiary of Contran, Valhi, NLI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Basis of presentation </w:t>
      </w:r>
      <w:r>
        <w:rPr>
          <w:rFonts w:ascii="Times New Roman;Times;serif" w:hAnsi="Times New Roman;Times;serif"/>
          <w:sz w:val="20"/>
        </w:rPr>
        <w:t>- The unaudited Condensed Consolidated Financial Statements contained in this Quarterly Report have been prepared on the same basis as the audited Consolidated Financial Statements in our Annual Report on Form 10-K for the year ended December 31, 2025 that we filed with the Securities and Exchange Commission (“SEC”) on March 9, 2026 (“2025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2025 contained in this Quarterly Report as compared to our audited Consolidated Financial Statements at that date, and we have omitted certain information and footnote disclosures (including those related to the Consolidated Balance Sheet at December 31, 2025) normally included in financial statements prepared in accordance with accounting principles generally accepted in the United States of America (“GAAP”). Our results of operations for the interim periods ended June 30, 2026 may not be indicative of our operating results for the full year. The Condensed Consolidated Financial Statements contained in this Quarterly Report should be read in conjunction with our 2025 Consolidated Financial Statements contained in our 2025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otherwise indicated, references in this report to “we,” “us” or “our” refer to Kronos Worldwide, Inc. and its subsidiaries (NYSE: KRO) taken as a whole.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2 - TiO</w:t>
      </w:r>
      <w:r>
        <w:rPr>
          <w:rFonts w:ascii="Times New Roman;Times;serif" w:hAnsi="Times New Roman;Times;serif"/>
          <w:b/>
          <w:sz w:val="15"/>
        </w:rPr>
        <w:t>2</w:t>
      </w:r>
      <w:r>
        <w:rPr>
          <w:rFonts w:ascii="Times New Roman;Times;serif" w:hAnsi="Times New Roman;Times;serif"/>
          <w:b/>
          <w:sz w:val="20"/>
        </w:rPr>
        <w:t xml:space="preserve"> segment information: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Our chief operating decision maker (“CODM”) evaluates the TiO</w:t>
      </w:r>
      <w:r>
        <w:rPr>
          <w:rFonts w:ascii="Times New Roman;Times;serif" w:hAnsi="Times New Roman;Times;serif"/>
          <w:sz w:val="15"/>
          <w:shd w:fill="FFFFFF" w:val="clear"/>
        </w:rPr>
        <w:t>2</w:t>
      </w:r>
      <w:r>
        <w:rPr>
          <w:rFonts w:ascii="Times New Roman;Times;serif" w:hAnsi="Times New Roman;Times;serif"/>
          <w:sz w:val="20"/>
          <w:shd w:fill="FFFFFF" w:val="clear"/>
        </w:rPr>
        <w:t xml:space="preserve"> segment’s operating performance based on net income (loss) and segment profit (a non-GAAP measure), which we define as net income (loss) before income tax expense and certain general corporate items. These general corporate items include corporate expense and the components of other income (expense) except for trade interest income which is not significant. Differences between segment profit and the amounts included in consolidated net income (loss) are shown in the table below. </w:t>
      </w:r>
      <w:r>
        <w:rPr>
          <w:rFonts w:ascii="Times New Roman;Times;serif" w:hAnsi="Times New Roman;Times;serif"/>
          <w:color w:val="212529"/>
          <w:sz w:val="20"/>
        </w:rPr>
        <w:t xml:space="preserve">Substantially all depreciation expense is included in the calculation of segment profit. </w:t>
      </w:r>
    </w:p>
    <w:p>
      <w:pPr>
        <w:pStyle w:val="TextBody"/>
        <w:bidi w:val="0"/>
        <w:spacing w:before="0" w:after="0"/>
        <w:ind w:left="0" w:right="0" w:firstLine="720"/>
        <w:jc w:val="both"/>
        <w:rPr>
          <w:color w:val="212529"/>
        </w:rPr>
      </w:pPr>
      <w:r>
        <w:rPr>
          <w:color w:val="212529"/>
        </w:rPr>
        <w:t>​</w:t>
      </w:r>
    </w:p>
    <w:p>
      <w:pPr>
        <w:pStyle w:val="TextBody"/>
        <w:bidi w:val="0"/>
        <w:spacing w:before="0" w:after="0"/>
        <w:ind w:left="0" w:right="0" w:firstLine="720"/>
        <w:jc w:val="both"/>
        <w:rPr>
          <w:color w:val="212529"/>
        </w:rPr>
      </w:pPr>
      <w:r>
        <w:rPr>
          <w:color w:val="212529"/>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676" w:name="Tc_KNzNKVjykkOs1HAzCMtskA_16_11"/>
      <w:bookmarkStart w:id="677" w:name="Tc_nSvGma5V70ijHeXk9ROYDg_16_8"/>
      <w:bookmarkStart w:id="678" w:name="Tc_4gIFoC2S40y4KQaFPQyf4A_16_5"/>
      <w:bookmarkStart w:id="679" w:name="Tc_e06QYQNJb0SYh58-If0agw_16_2"/>
      <w:bookmarkStart w:id="680" w:name="Tc_eJ3z5ObYCEaXiEeowVYFZw_16_0"/>
      <w:bookmarkStart w:id="681" w:name="Tc_wSllcvPSy0CpsHn6igWU_g_14_11"/>
      <w:bookmarkStart w:id="682" w:name="Tc_OSXPy1UNykWrJZQNslr4mA_14_8"/>
      <w:bookmarkStart w:id="683" w:name="Tc_TxxyiOWY3ECs-QndzKKu1A_14_5"/>
      <w:bookmarkStart w:id="684" w:name="Tc_kfnypnlYmkuCaaz6leX5xw_14_2"/>
      <w:bookmarkStart w:id="685" w:name="Tc_K7t_rG2TRUOWMD5sh1_4Ag_14_0"/>
      <w:bookmarkStart w:id="686" w:name="Tc_9buSFYZLfUaCFBVP0ahp-w_13_0"/>
      <w:bookmarkStart w:id="687" w:name="Tc_UBnrFwVfTUODBnhewA_H4Q_12_0"/>
      <w:bookmarkStart w:id="688" w:name="Tc_hw5Kk46hak-MiAEgcD7aug_11_0"/>
      <w:bookmarkStart w:id="689" w:name="Tc_S3zGoNhTSUafYkDaTykmaQ_10_6"/>
      <w:bookmarkStart w:id="690" w:name="Tc_NyqdNhko50Kg2i-_I_aXOw_10_3"/>
      <w:bookmarkStart w:id="691" w:name="Tc_cTuFr63XtEq2m8eUhHhICA_10_0"/>
      <w:bookmarkStart w:id="692" w:name="Tc_uY8FdjM6JEmFkmuggpkUsA_9_0"/>
      <w:bookmarkStart w:id="693" w:name="Tc_xz6rbR67ekKHEowEaKOebw_8_0"/>
      <w:bookmarkStart w:id="694" w:name="Tc_v_CkZLtlTUGkFRR8zA60Ow_7_11"/>
      <w:bookmarkStart w:id="695" w:name="Tc_dkYAbLEd5E-cZ76PXoCNoQ_7_8"/>
      <w:bookmarkStart w:id="696" w:name="Tc_5UZug3bY5kOYAtKz2p3cFg_7_5"/>
      <w:bookmarkStart w:id="697" w:name="Tc_kud0WQteOUmnP1u3L-fx0Q_7_2"/>
      <w:bookmarkStart w:id="698" w:name="Tc_zcPBgrMkDEG_9MEvVYafjA_7_0"/>
      <w:bookmarkStart w:id="699" w:name="Tc_DmvkMGF7M0-KPOogplO5vA_5_11"/>
      <w:bookmarkStart w:id="700" w:name="Tc_WfGx96pb-UicUDbyWDGq7g_5_8"/>
      <w:bookmarkStart w:id="701" w:name="Tc_y0trjo10iUmyX4SQAnEHPg_5_5"/>
      <w:bookmarkStart w:id="702" w:name="Tc_vN4Z0uzXk0CVQfGih-IltA_5_2"/>
      <w:bookmarkStart w:id="703" w:name="Tc_rdQ8f6gfY0CDwh3RCicvFw_5_0"/>
      <w:bookmarkStart w:id="704" w:name="Tc_BpvgTzcqgEGTG3InrqFaeg_4_2"/>
      <w:bookmarkStart w:id="705" w:name="Tc_yXSnH3jxo0y15d8QLFmVyg_3_12"/>
      <w:bookmarkStart w:id="706" w:name="Tc_B7R2GpJUt0m_zsYXrGVrTA_3_9"/>
      <w:bookmarkStart w:id="707" w:name="Tc_h720VNuxd0qA_YrWb5fStA_3_5"/>
      <w:bookmarkStart w:id="708" w:name="Tc_l04xpnWcREeGZs-BXnxHYg_3_2"/>
      <w:bookmarkStart w:id="709" w:name="Tc_OhIWBKN6nUydM29awWXkGQ_2_8"/>
      <w:bookmarkStart w:id="710" w:name="Tc_NQ_zVGX2d0mkJqc1ICz6pw_2_2"/>
      <w:bookmarkStart w:id="711" w:name="Tc_uR49graP60mPueZeger_Bw_1_8"/>
      <w:bookmarkStart w:id="712" w:name="Tc_XqbeLJRn40WWGbHslTRnxw_1_2"/>
      <w:bookmarkStart w:id="713" w:name="Tc_KNzNKVjykkOs1HAzCMtskA_16_11"/>
      <w:bookmarkStart w:id="714" w:name="Tc_nSvGma5V70ijHeXk9ROYDg_16_8"/>
      <w:bookmarkStart w:id="715" w:name="Tc_4gIFoC2S40y4KQaFPQyf4A_16_5"/>
      <w:bookmarkStart w:id="716" w:name="Tc_e06QYQNJb0SYh58-If0agw_16_2"/>
      <w:bookmarkStart w:id="717" w:name="Tc_eJ3z5ObYCEaXiEeowVYFZw_16_0"/>
      <w:bookmarkStart w:id="718" w:name="Tc_wSllcvPSy0CpsHn6igWU_g_14_11"/>
      <w:bookmarkStart w:id="719" w:name="Tc_OSXPy1UNykWrJZQNslr4mA_14_8"/>
      <w:bookmarkStart w:id="720" w:name="Tc_TxxyiOWY3ECs-QndzKKu1A_14_5"/>
      <w:bookmarkStart w:id="721" w:name="Tc_kfnypnlYmkuCaaz6leX5xw_14_2"/>
      <w:bookmarkStart w:id="722" w:name="Tc_K7t_rG2TRUOWMD5sh1_4Ag_14_0"/>
      <w:bookmarkStart w:id="723" w:name="Tc_9buSFYZLfUaCFBVP0ahp-w_13_0"/>
      <w:bookmarkStart w:id="724" w:name="Tc_UBnrFwVfTUODBnhewA_H4Q_12_0"/>
      <w:bookmarkStart w:id="725" w:name="Tc_hw5Kk46hak-MiAEgcD7aug_11_0"/>
      <w:bookmarkStart w:id="726" w:name="Tc_S3zGoNhTSUafYkDaTykmaQ_10_6"/>
      <w:bookmarkStart w:id="727" w:name="Tc_NyqdNhko50Kg2i-_I_aXOw_10_3"/>
      <w:bookmarkStart w:id="728" w:name="Tc_cTuFr63XtEq2m8eUhHhICA_10_0"/>
      <w:bookmarkStart w:id="729" w:name="Tc_uY8FdjM6JEmFkmuggpkUsA_9_0"/>
      <w:bookmarkStart w:id="730" w:name="Tc_xz6rbR67ekKHEowEaKOebw_8_0"/>
      <w:bookmarkStart w:id="731" w:name="Tc_v_CkZLtlTUGkFRR8zA60Ow_7_11"/>
      <w:bookmarkStart w:id="732" w:name="Tc_dkYAbLEd5E-cZ76PXoCNoQ_7_8"/>
      <w:bookmarkStart w:id="733" w:name="Tc_5UZug3bY5kOYAtKz2p3cFg_7_5"/>
      <w:bookmarkStart w:id="734" w:name="Tc_kud0WQteOUmnP1u3L-fx0Q_7_2"/>
      <w:bookmarkStart w:id="735" w:name="Tc_zcPBgrMkDEG_9MEvVYafjA_7_0"/>
      <w:bookmarkStart w:id="736" w:name="Tc_DmvkMGF7M0-KPOogplO5vA_5_11"/>
      <w:bookmarkStart w:id="737" w:name="Tc_WfGx96pb-UicUDbyWDGq7g_5_8"/>
      <w:bookmarkStart w:id="738" w:name="Tc_y0trjo10iUmyX4SQAnEHPg_5_5"/>
      <w:bookmarkStart w:id="739" w:name="Tc_vN4Z0uzXk0CVQfGih-IltA_5_2"/>
      <w:bookmarkStart w:id="740" w:name="Tc_rdQ8f6gfY0CDwh3RCicvFw_5_0"/>
      <w:bookmarkStart w:id="741" w:name="Tc_BpvgTzcqgEGTG3InrqFaeg_4_2"/>
      <w:bookmarkStart w:id="742" w:name="Tc_yXSnH3jxo0y15d8QLFmVyg_3_12"/>
      <w:bookmarkStart w:id="743" w:name="Tc_B7R2GpJUt0m_zsYXrGVrTA_3_9"/>
      <w:bookmarkStart w:id="744" w:name="Tc_h720VNuxd0qA_YrWb5fStA_3_5"/>
      <w:bookmarkStart w:id="745" w:name="Tc_l04xpnWcREeGZs-BXnxHYg_3_2"/>
      <w:bookmarkStart w:id="746" w:name="Tc_OhIWBKN6nUydM29awWXkGQ_2_8"/>
      <w:bookmarkStart w:id="747" w:name="Tc_NQ_zVGX2d0mkJqc1ICz6pw_2_2"/>
      <w:bookmarkStart w:id="748" w:name="Tc_uR49graP60mPueZeger_Bw_1_8"/>
      <w:bookmarkStart w:id="749" w:name="Tc_XqbeLJRn40WWGbHslTRnxw_1_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tbl>
      <w:tblPr>
        <w:tblW w:w="7849" w:type="dxa"/>
        <w:jc w:val="left"/>
        <w:tblInd w:w="0" w:type="dxa"/>
        <w:tblLayout w:type="fixed"/>
        <w:tblCellMar>
          <w:top w:w="0" w:type="dxa"/>
          <w:left w:w="0" w:type="dxa"/>
          <w:bottom w:w="0" w:type="dxa"/>
          <w:right w:w="0" w:type="dxa"/>
        </w:tblCellMar>
      </w:tblPr>
      <w:tblGrid>
        <w:gridCol w:w="3571"/>
        <w:gridCol w:w="346"/>
        <w:gridCol w:w="211"/>
        <w:gridCol w:w="586"/>
        <w:gridCol w:w="346"/>
        <w:gridCol w:w="211"/>
        <w:gridCol w:w="586"/>
        <w:gridCol w:w="109"/>
        <w:gridCol w:w="211"/>
        <w:gridCol w:w="586"/>
        <w:gridCol w:w="109"/>
        <w:gridCol w:w="211"/>
        <w:gridCol w:w="766"/>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267585" cy="175260"/>
                      <wp:effectExtent l="0" t="0" r="0" b="0"/>
                      <wp:wrapNone/>
                      <wp:docPr id="97" name="Frame97"/>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72110" cy="175260"/>
                      <wp:effectExtent l="0" t="0" r="0" b="0"/>
                      <wp:wrapNone/>
                      <wp:docPr id="100" name="Frame10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72110" cy="175260"/>
                      <wp:effectExtent l="0" t="0" r="0" b="0"/>
                      <wp:wrapNone/>
                      <wp:docPr id="103" name="Frame10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72110" cy="175260"/>
                      <wp:effectExtent l="0" t="0" r="0" b="0"/>
                      <wp:wrapNone/>
                      <wp:docPr id="106" name="Frame10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7" name="Frame1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86410" cy="175260"/>
                      <wp:effectExtent l="0" t="0" r="0" b="0"/>
                      <wp:wrapNone/>
                      <wp:docPr id="109" name="Frame10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center"/>
              <w:rPr/>
            </w:pPr>
            <w:r>
              <w:rPr/>
              <w:t>​</w:t>
            </w:r>
          </w:p>
        </w:tc>
        <w:tc>
          <w:tcPr>
            <w:tcW w:w="188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109" w:type="dxa"/>
            <w:tcBorders/>
            <w:vAlign w:val="center"/>
          </w:tcPr>
          <w:p>
            <w:pPr>
              <w:pStyle w:val="TableContents"/>
              <w:bidi w:val="0"/>
              <w:spacing w:before="0" w:after="0"/>
              <w:ind w:left="0" w:right="0" w:hanging="0"/>
              <w:jc w:val="center"/>
              <w:rPr/>
            </w:pPr>
            <w:r>
              <w:rPr/>
              <w:t>​</w:t>
            </w:r>
          </w:p>
        </w:tc>
        <w:tc>
          <w:tcPr>
            <w:tcW w:w="18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r>
      <w:tr>
        <w:trPr/>
        <w:tc>
          <w:tcPr>
            <w:tcW w:w="3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84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932"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558.1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1,067.9</w:t>
            </w:r>
          </w:p>
        </w:tc>
      </w:tr>
      <w:tr>
        <w:trPr/>
        <w:tc>
          <w:tcPr>
            <w:tcW w:w="3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56.1</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interest and dividend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equity securities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35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components of net periodic pension </w:t>
              <w:br/>
              <w:t>and OPEB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(28.5)</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58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w:t>
            </w:r>
          </w:p>
        </w:tc>
        <w:tc>
          <w:tcPr>
            <w:tcW w:w="109"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109"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76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w:t>
            </w:r>
          </w:p>
        </w:tc>
      </w:tr>
      <w:tr>
        <w:trPr/>
        <w:tc>
          <w:tcPr>
            <w:tcW w:w="3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31.2</w:t>
            </w:r>
          </w:p>
        </w:tc>
      </w:tr>
    </w:tbl>
    <w:p>
      <w:pPr>
        <w:pStyle w:val="TextBody"/>
        <w:bidi w:val="0"/>
        <w:spacing w:before="0" w:after="0"/>
        <w:ind w:left="0" w:right="0" w:firstLine="720"/>
        <w:jc w:val="both"/>
        <w:rPr>
          <w:color w:val="212529"/>
        </w:rPr>
      </w:pPr>
      <w:r>
        <w:rPr>
          <w:color w:val="212529"/>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120"/>
        <w:ind w:left="0" w:right="0" w:hanging="0"/>
        <w:jc w:val="left"/>
        <w:rPr>
          <w:rFonts w:ascii="Times New Roman;Times;serif" w:hAnsi="Times New Roman;Times;serif"/>
          <w:b/>
          <w:sz w:val="20"/>
        </w:rPr>
      </w:pPr>
      <w:bookmarkStart w:id="750" w:name="Tc_uUrZwkKIv0-Pb7Xdj1IZ1g_11_5"/>
      <w:bookmarkStart w:id="751" w:name="Tc_23EQ47BPeki3zyWffrHY6Q_11_2"/>
      <w:bookmarkStart w:id="752" w:name="Tc_MkyXAoN6gk2dWQNQZ9IJYg_11_0"/>
      <w:bookmarkStart w:id="753" w:name="Tc_7G05o0SwR0KfbZ7q_q3n-w_10_0"/>
      <w:bookmarkStart w:id="754" w:name="Tc_J01kcXkPcU65NhS_JmFtLA_9_0"/>
      <w:bookmarkStart w:id="755" w:name="Tc_SsoR40_LHkGxAEuQWT2tHA_8_0"/>
      <w:bookmarkStart w:id="756" w:name="Tc_PifuvvLIp0GnjLq2mjZDNg_7_0"/>
      <w:bookmarkStart w:id="757" w:name="Tc_Ih1HM6MzKUGMdVKlximQTQ_6_0"/>
      <w:bookmarkStart w:id="758" w:name="Tc_DNs0i3vP-U-9duWTXRfjOw_5_0"/>
      <w:bookmarkStart w:id="759" w:name="Tc_G6zHY9U_VkKBbkazCT2FgA_4_5"/>
      <w:bookmarkStart w:id="760" w:name="Tc_vZELonxEXUGPufDNhr9pyQ_4_2"/>
      <w:bookmarkStart w:id="761" w:name="Tc_YAC0yrdtjEmtKuWFfjq7tA_4_0"/>
      <w:bookmarkStart w:id="762" w:name="Tc_-FhS1E3R5EiEsMYVi7G5pg_3_2"/>
      <w:bookmarkStart w:id="763" w:name="Tc_6y_kIB7_iUKYmAvvjyIyGQ_2_5"/>
      <w:bookmarkStart w:id="764" w:name="Tc_qBLLWIB_eE6vUTot9M4Z_w_2_2"/>
      <w:bookmarkStart w:id="765" w:name="Tc_LCAfVTqyYkSBczGaMTY94Q_1_5"/>
      <w:bookmarkStart w:id="766" w:name="Tc_5xcUMquAfk2oLp4KIKzBEg_1_2"/>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r>
        <w:rPr>
          <w:rFonts w:ascii="Times New Roman;Times;serif" w:hAnsi="Times New Roman;Times;serif"/>
          <w:b/>
          <w:sz w:val="20"/>
        </w:rPr>
        <w:t>Note 3 - Accounts and other receivables, net:</w:t>
      </w:r>
    </w:p>
    <w:p>
      <w:pPr>
        <w:pStyle w:val="TextBody"/>
        <w:bidi w:val="0"/>
        <w:spacing w:before="0" w:after="0"/>
        <w:ind w:left="0" w:right="0" w:hanging="0"/>
        <w:jc w:val="left"/>
        <w:rPr/>
      </w:pPr>
      <w:r>
        <w:rPr/>
        <w:t>​</w:t>
      </w:r>
    </w:p>
    <w:tbl>
      <w:tblPr>
        <w:tblW w:w="6243" w:type="dxa"/>
        <w:jc w:val="left"/>
        <w:tblInd w:w="0" w:type="dxa"/>
        <w:tblLayout w:type="fixed"/>
        <w:tblCellMar>
          <w:top w:w="0" w:type="dxa"/>
          <w:left w:w="0" w:type="dxa"/>
          <w:bottom w:w="0" w:type="dxa"/>
          <w:right w:w="0" w:type="dxa"/>
        </w:tblCellMar>
      </w:tblPr>
      <w:tblGrid>
        <w:gridCol w:w="3346"/>
        <w:gridCol w:w="346"/>
        <w:gridCol w:w="352"/>
        <w:gridCol w:w="953"/>
        <w:gridCol w:w="346"/>
        <w:gridCol w:w="214"/>
        <w:gridCol w:w="686"/>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24710" cy="175260"/>
                      <wp:effectExtent l="0" t="0" r="0" b="0"/>
                      <wp:wrapNone/>
                      <wp:docPr id="110" name="Frame110"/>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23520" cy="175260"/>
                      <wp:effectExtent l="0" t="0" r="0" b="0"/>
                      <wp:wrapNone/>
                      <wp:docPr id="112" name="Frame112"/>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05155" cy="175260"/>
                      <wp:effectExtent l="0" t="0" r="0" b="0"/>
                      <wp:wrapNone/>
                      <wp:docPr id="113" name="Frame113"/>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5890" cy="175260"/>
                      <wp:effectExtent l="0" t="0" r="0" b="0"/>
                      <wp:wrapNone/>
                      <wp:docPr id="115" name="Frame11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35610" cy="175260"/>
                      <wp:effectExtent l="0" t="0" r="0" b="0"/>
                      <wp:wrapNone/>
                      <wp:docPr id="116" name="Frame116"/>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24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51"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270.7</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373.4</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Recoverable VAT and other receivables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Receivables from affiliates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receivable from Valhi</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Refundable income taxes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287.8</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393.3</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767" w:name="Tc_xfgxghZVqkqWifGlIotEbg_8_5"/>
      <w:bookmarkStart w:id="768" w:name="Tc_QnMKlc1qEkW-UwPUAsJh_A_8_2"/>
      <w:bookmarkStart w:id="769" w:name="Tc_OUPXyiWnlkqxvrvFVG0iJQ_8_0"/>
      <w:bookmarkStart w:id="770" w:name="Tc_UlQBwb-KWkq5GQ23pBD8uw_7_0"/>
      <w:bookmarkStart w:id="771" w:name="Tc_dWbqw2WAG0eXTCLu7bDYBA_6_0"/>
      <w:bookmarkStart w:id="772" w:name="Tc_03pArMtAHUy-K7inL-G70Q_5_0"/>
      <w:bookmarkStart w:id="773" w:name="Tc_0iouqZdYP0e5SXqGkbKOkg_4_5"/>
      <w:bookmarkStart w:id="774" w:name="Tc_2Z4E1k7lBUunCvE2qQbxOg_4_2"/>
      <w:bookmarkStart w:id="775" w:name="Tc_l-H8xl4UJE2DwkQiQIJaQw_4_0"/>
      <w:bookmarkStart w:id="776" w:name="Tc_EZDKkknsB0Kg4e43K3SgMA_3_2"/>
      <w:bookmarkStart w:id="777" w:name="Tc_YbUHn1fk9UuT7vCmn0R1MQ_2_5"/>
      <w:bookmarkStart w:id="778" w:name="Tc_WhJEJTOv0U-9SYBxTvWnLA_2_2"/>
      <w:bookmarkStart w:id="779" w:name="Tc_lDyA6MQss0yYNH2URvSm3g_1_5"/>
      <w:bookmarkStart w:id="780" w:name="Tc_vFmOZOFh7Eapm3ETmNk6aw_1_2"/>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r>
        <w:rPr>
          <w:rFonts w:ascii="Times New Roman;Times;serif" w:hAnsi="Times New Roman;Times;serif"/>
          <w:b/>
          <w:sz w:val="20"/>
        </w:rPr>
        <w:t>Note 4 - Inventories, net:</w:t>
      </w:r>
    </w:p>
    <w:p>
      <w:pPr>
        <w:pStyle w:val="TextBody"/>
        <w:bidi w:val="0"/>
        <w:spacing w:before="0" w:after="0"/>
        <w:ind w:left="0" w:right="0" w:hanging="0"/>
        <w:jc w:val="left"/>
        <w:rPr/>
      </w:pPr>
      <w:r>
        <w:rPr/>
        <w:t>​</w:t>
      </w:r>
    </w:p>
    <w:tbl>
      <w:tblPr>
        <w:tblW w:w="4473" w:type="dxa"/>
        <w:jc w:val="left"/>
        <w:tblInd w:w="0" w:type="dxa"/>
        <w:tblLayout w:type="fixed"/>
        <w:tblCellMar>
          <w:top w:w="0" w:type="dxa"/>
          <w:left w:w="0" w:type="dxa"/>
          <w:bottom w:w="0" w:type="dxa"/>
          <w:right w:w="0" w:type="dxa"/>
        </w:tblCellMar>
      </w:tblPr>
      <w:tblGrid>
        <w:gridCol w:w="1576"/>
        <w:gridCol w:w="346"/>
        <w:gridCol w:w="352"/>
        <w:gridCol w:w="953"/>
        <w:gridCol w:w="346"/>
        <w:gridCol w:w="214"/>
        <w:gridCol w:w="68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000760" cy="175260"/>
                      <wp:effectExtent l="0" t="0" r="0" b="0"/>
                      <wp:wrapNone/>
                      <wp:docPr id="117" name="Frame117"/>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23520" cy="175260"/>
                      <wp:effectExtent l="0" t="0" r="0" b="0"/>
                      <wp:wrapNone/>
                      <wp:docPr id="119" name="Frame119"/>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05155" cy="175260"/>
                      <wp:effectExtent l="0" t="0" r="0" b="0"/>
                      <wp:wrapNone/>
                      <wp:docPr id="120" name="Frame120"/>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5890" cy="175260"/>
                      <wp:effectExtent l="0" t="0" r="0" b="0"/>
                      <wp:wrapNone/>
                      <wp:docPr id="122" name="Frame12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35610" cy="175260"/>
                      <wp:effectExtent l="0" t="0" r="0" b="0"/>
                      <wp:wrapNone/>
                      <wp:docPr id="123" name="Frame123"/>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47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51"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179.7</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144.5</w:t>
            </w:r>
          </w:p>
        </w:tc>
      </w:tr>
      <w:tr>
        <w:trPr/>
        <w:tc>
          <w:tcPr>
            <w:tcW w:w="1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48.1</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267.9</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176.8</w:t>
            </w:r>
          </w:p>
        </w:tc>
      </w:tr>
      <w:tr>
        <w:trPr/>
        <w:tc>
          <w:tcPr>
            <w:tcW w:w="1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Supplies</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128.9</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628.6</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498.3</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5 - Marketable securities: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Our marketable securities consist of investments in the publicly-traded shares of our related party, Valhi. Our marketable securities are carried at fair value using quoted market prices in active markets for each marketable security and represent a Level 1 input within the fair value hierarchy. Unrealized gains or losses on equity securities are recognized in other income (expense) - marketable equity securities on our Condensed Consolidated Statements of Operations.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81" w:name="Tc_KqBnD9FXrESzrBVeotcPBw_9_10"/>
      <w:bookmarkStart w:id="782" w:name="Tc_3eNT9LUhskGOlAN7EukCZQ_9_7"/>
      <w:bookmarkStart w:id="783" w:name="Tc_r6DpFnzu8UuTA3wgQ44A1g_9_4"/>
      <w:bookmarkStart w:id="784" w:name="Tc_i52iJcMOZEuhxrpknrB5wg_9_2"/>
      <w:bookmarkStart w:id="785" w:name="Tc_kQz1WF4jJkGzybp-YuVnxw_9_0"/>
      <w:bookmarkStart w:id="786" w:name="Tc_ax3O-zjlQEaAjjP5_E7ZbA_8_0"/>
      <w:bookmarkStart w:id="787" w:name="Tc_nifcn8jHT0aq9PqkHeZXLQ_6_10"/>
      <w:bookmarkStart w:id="788" w:name="Tc_Muj2drjX8U25PQ5nqip9zg_6_7"/>
      <w:bookmarkStart w:id="789" w:name="Tc_miYN-c8qhEeLE6_zb6pIJg_6_4"/>
      <w:bookmarkStart w:id="790" w:name="Tc_QSAVJNL0FEmv0G95RoqjHg_6_2"/>
      <w:bookmarkStart w:id="791" w:name="Tc_UN1fm6TjtUyAHdl5LsKd9g_6_0"/>
      <w:bookmarkStart w:id="792" w:name="Tc_VjH74BKo2Eyp3GaXFFg3uQ_5_0"/>
      <w:bookmarkStart w:id="793" w:name="Tc_cTsWh_mXqEKpAgDKxtuCTg_4_4"/>
      <w:bookmarkStart w:id="794" w:name="Tc_iCGrE-SiRE-MDdkOdwBzCQ_3_10"/>
      <w:bookmarkStart w:id="795" w:name="Tc_Z51qJAJE3EWvx2ECW-JIRw_3_7"/>
      <w:bookmarkStart w:id="796" w:name="Tc_2Wlo-vPo4ESce2AnqKk_yg_3_4"/>
      <w:bookmarkStart w:id="797" w:name="Tc_inM2DbHzlU2ICS06pI8baw_3_2"/>
      <w:bookmarkStart w:id="798" w:name="Tc_0bfYbobqk0y1QjWpiA3H2A_3_0"/>
      <w:bookmarkStart w:id="799" w:name="Tc_y48empYvpkGTAft9UKFOrg_2_10"/>
      <w:bookmarkStart w:id="800" w:name="Tc_CAC11KD3kUOrCttneaZCxA_2_7"/>
      <w:bookmarkStart w:id="801" w:name="Tc_YN9Mcs6aU0WJrqaQqG6J4A_2_4"/>
      <w:bookmarkStart w:id="802" w:name="Tc_k7UnUm1AzUun_D4kc4MsCg_2_2"/>
      <w:bookmarkStart w:id="803" w:name="Tc__DFPNBBSFky8SUMH48CALQ_1_2"/>
      <w:bookmarkStart w:id="804" w:name="Tc_KqBnD9FXrESzrBVeotcPBw_9_10"/>
      <w:bookmarkStart w:id="805" w:name="Tc_3eNT9LUhskGOlAN7EukCZQ_9_7"/>
      <w:bookmarkStart w:id="806" w:name="Tc_r6DpFnzu8UuTA3wgQ44A1g_9_4"/>
      <w:bookmarkStart w:id="807" w:name="Tc_i52iJcMOZEuhxrpknrB5wg_9_2"/>
      <w:bookmarkStart w:id="808" w:name="Tc_kQz1WF4jJkGzybp-YuVnxw_9_0"/>
      <w:bookmarkStart w:id="809" w:name="Tc_ax3O-zjlQEaAjjP5_E7ZbA_8_0"/>
      <w:bookmarkStart w:id="810" w:name="Tc_nifcn8jHT0aq9PqkHeZXLQ_6_10"/>
      <w:bookmarkStart w:id="811" w:name="Tc_Muj2drjX8U25PQ5nqip9zg_6_7"/>
      <w:bookmarkStart w:id="812" w:name="Tc_miYN-c8qhEeLE6_zb6pIJg_6_4"/>
      <w:bookmarkStart w:id="813" w:name="Tc_QSAVJNL0FEmv0G95RoqjHg_6_2"/>
      <w:bookmarkStart w:id="814" w:name="Tc_UN1fm6TjtUyAHdl5LsKd9g_6_0"/>
      <w:bookmarkStart w:id="815" w:name="Tc_VjH74BKo2Eyp3GaXFFg3uQ_5_0"/>
      <w:bookmarkStart w:id="816" w:name="Tc_cTsWh_mXqEKpAgDKxtuCTg_4_4"/>
      <w:bookmarkStart w:id="817" w:name="Tc_iCGrE-SiRE-MDdkOdwBzCQ_3_10"/>
      <w:bookmarkStart w:id="818" w:name="Tc_Z51qJAJE3EWvx2ECW-JIRw_3_7"/>
      <w:bookmarkStart w:id="819" w:name="Tc_2Wlo-vPo4ESce2AnqKk_yg_3_4"/>
      <w:bookmarkStart w:id="820" w:name="Tc_inM2DbHzlU2ICS06pI8baw_3_2"/>
      <w:bookmarkStart w:id="821" w:name="Tc_0bfYbobqk0y1QjWpiA3H2A_3_0"/>
      <w:bookmarkStart w:id="822" w:name="Tc_y48empYvpkGTAft9UKFOrg_2_10"/>
      <w:bookmarkStart w:id="823" w:name="Tc_CAC11KD3kUOrCttneaZCxA_2_7"/>
      <w:bookmarkStart w:id="824" w:name="Tc_YN9Mcs6aU0WJrqaQqG6J4A_2_4"/>
      <w:bookmarkStart w:id="825" w:name="Tc_k7UnUm1AzUun_D4kc4MsCg_2_2"/>
      <w:bookmarkStart w:id="826" w:name="Tc__DFPNBBSFky8SUMH48CALQ_1_2"/>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tbl>
      <w:tblPr>
        <w:tblW w:w="6850" w:type="dxa"/>
        <w:jc w:val="left"/>
        <w:tblInd w:w="0" w:type="dxa"/>
        <w:tblLayout w:type="fixed"/>
        <w:tblCellMar>
          <w:top w:w="0" w:type="dxa"/>
          <w:left w:w="0" w:type="dxa"/>
          <w:bottom w:w="0" w:type="dxa"/>
          <w:right w:w="0" w:type="dxa"/>
        </w:tblCellMar>
      </w:tblPr>
      <w:tblGrid>
        <w:gridCol w:w="1831"/>
        <w:gridCol w:w="346"/>
        <w:gridCol w:w="1246"/>
        <w:gridCol w:w="346"/>
        <w:gridCol w:w="271"/>
        <w:gridCol w:w="465"/>
        <w:gridCol w:w="346"/>
        <w:gridCol w:w="211"/>
        <w:gridCol w:w="361"/>
        <w:gridCol w:w="346"/>
        <w:gridCol w:w="336"/>
        <w:gridCol w:w="745"/>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162685" cy="175260"/>
                      <wp:effectExtent l="0" t="0" r="0" b="0"/>
                      <wp:wrapNone/>
                      <wp:docPr id="124" name="Frame124"/>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91210" cy="175260"/>
                      <wp:effectExtent l="0" t="0" r="0" b="0"/>
                      <wp:wrapNone/>
                      <wp:docPr id="126" name="Frame12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72085" cy="175260"/>
                      <wp:effectExtent l="0" t="0" r="0" b="0"/>
                      <wp:wrapNone/>
                      <wp:docPr id="128" name="Frame12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95275" cy="175260"/>
                      <wp:effectExtent l="0" t="0" r="0" b="0"/>
                      <wp:wrapNone/>
                      <wp:docPr id="129" name="Frame129"/>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29235" cy="175260"/>
                      <wp:effectExtent l="0" t="0" r="0" b="0"/>
                      <wp:wrapNone/>
                      <wp:docPr id="132" name="Frame13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3360" cy="175260"/>
                      <wp:effectExtent l="0" t="0" r="0" b="0"/>
                      <wp:wrapNone/>
                      <wp:docPr id="134" name="Frame134"/>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73075" cy="175260"/>
                      <wp:effectExtent l="0" t="0" r="0" b="0"/>
                      <wp:wrapNone/>
                      <wp:docPr id="135" name="Frame135"/>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46" w:type="dxa"/>
            <w:tcBorders/>
            <w:vAlign w:val="center"/>
          </w:tcPr>
          <w:p>
            <w:pPr>
              <w:pStyle w:val="TableContents"/>
              <w:bidi w:val="0"/>
              <w:spacing w:before="0" w:after="0"/>
              <w:ind w:left="0" w:right="0" w:hanging="0"/>
              <w:jc w:val="center"/>
              <w:rPr/>
            </w:pPr>
            <w:r>
              <w:rPr/>
              <w:t>  ​ ​ ​</w:t>
            </w:r>
          </w:p>
        </w:tc>
        <w:tc>
          <w:tcPr>
            <w:tcW w:w="271" w:type="dxa"/>
            <w:tcBorders/>
            <w:vAlign w:val="center"/>
          </w:tcPr>
          <w:p>
            <w:pPr>
              <w:pStyle w:val="TableContents"/>
              <w:bidi w:val="0"/>
              <w:spacing w:before="0" w:after="0"/>
              <w:ind w:left="0" w:right="0" w:hanging="0"/>
              <w:jc w:val="center"/>
              <w:rPr/>
            </w:pPr>
            <w:r>
              <w:rPr/>
              <w:t>​</w:t>
            </w:r>
          </w:p>
        </w:tc>
        <w:tc>
          <w:tcPr>
            <w:tcW w:w="4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36" w:type="dxa"/>
            <w:tcBorders/>
            <w:vAlign w:val="center"/>
          </w:tcPr>
          <w:p>
            <w:pPr>
              <w:pStyle w:val="TableContents"/>
              <w:bidi w:val="0"/>
              <w:spacing w:before="0" w:after="0"/>
              <w:ind w:left="0" w:right="0" w:hanging="0"/>
              <w:jc w:val="center"/>
              <w:rPr/>
            </w:pPr>
            <w:r>
              <w:rPr/>
              <w:t>​</w:t>
            </w:r>
          </w:p>
        </w:tc>
        <w:tc>
          <w:tcPr>
            <w:tcW w:w="745" w:type="dxa"/>
            <w:tcBorders/>
            <w:vAlign w:val="center"/>
          </w:tcPr>
          <w:p>
            <w:pPr>
              <w:pStyle w:val="TableContents"/>
              <w:bidi w:val="0"/>
              <w:spacing w:before="0" w:after="0"/>
              <w:ind w:left="0" w:right="0" w:hanging="0"/>
              <w:jc w:val="center"/>
              <w:rPr/>
            </w:pPr>
            <w:r>
              <w:rPr/>
              <w:t>​</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measurement</w:t>
            </w:r>
          </w:p>
        </w:tc>
        <w:tc>
          <w:tcPr>
            <w:tcW w:w="346" w:type="dxa"/>
            <w:tcBorders/>
            <w:vAlign w:val="center"/>
          </w:tcPr>
          <w:p>
            <w:pPr>
              <w:pStyle w:val="TableContents"/>
              <w:bidi w:val="0"/>
              <w:spacing w:before="0" w:after="0"/>
              <w:ind w:left="0" w:right="0" w:hanging="0"/>
              <w:jc w:val="center"/>
              <w:rPr/>
            </w:pPr>
            <w:r>
              <w:rPr/>
              <w:t>​</w:t>
            </w:r>
          </w:p>
        </w:tc>
        <w:tc>
          <w:tcPr>
            <w:tcW w:w="73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Market</w:t>
            </w:r>
          </w:p>
        </w:tc>
        <w:tc>
          <w:tcPr>
            <w:tcW w:w="346" w:type="dxa"/>
            <w:tcBorders/>
            <w:vAlign w:val="center"/>
          </w:tcPr>
          <w:p>
            <w:pPr>
              <w:pStyle w:val="TableContents"/>
              <w:bidi w:val="0"/>
              <w:spacing w:before="0" w:after="0"/>
              <w:ind w:left="0" w:right="0" w:hanging="0"/>
              <w:jc w:val="center"/>
              <w:rPr/>
            </w:pPr>
            <w:r>
              <w:rPr/>
              <w:t>​</w:t>
            </w:r>
          </w:p>
        </w:tc>
        <w:tc>
          <w:tcPr>
            <w:tcW w:w="57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Cost</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Unrealized</w:t>
            </w:r>
          </w:p>
        </w:tc>
      </w:tr>
      <w:tr>
        <w:trPr/>
        <w:tc>
          <w:tcPr>
            <w:tcW w:w="18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Marketable security</w:t>
            </w:r>
          </w:p>
        </w:tc>
        <w:tc>
          <w:tcPr>
            <w:tcW w:w="346" w:type="dxa"/>
            <w:tcBorders/>
            <w:vAlign w:val="center"/>
          </w:tcPr>
          <w:p>
            <w:pPr>
              <w:pStyle w:val="TableContents"/>
              <w:bidi w:val="0"/>
              <w:spacing w:before="0" w:after="0"/>
              <w:ind w:left="0" w:right="0" w:hanging="0"/>
              <w:jc w:val="left"/>
              <w:rPr/>
            </w:pPr>
            <w:r>
              <w:rPr/>
              <w:t>  ​ ​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w:t>
            </w:r>
          </w:p>
        </w:tc>
        <w:tc>
          <w:tcPr>
            <w:tcW w:w="346" w:type="dxa"/>
            <w:tcBorders/>
            <w:vAlign w:val="center"/>
          </w:tcPr>
          <w:p>
            <w:pPr>
              <w:pStyle w:val="TableContents"/>
              <w:bidi w:val="0"/>
              <w:spacing w:before="0" w:after="0"/>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0"/>
              <w:ind w:left="0" w:right="0" w:hanging="0"/>
              <w:jc w:val="left"/>
              <w:rPr/>
            </w:pPr>
            <w:r>
              <w:rPr/>
              <w:t>  ​ ​ ​</w:t>
            </w:r>
          </w:p>
        </w:tc>
        <w:tc>
          <w:tcPr>
            <w:tcW w:w="5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basis</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loss</w:t>
            </w:r>
          </w:p>
        </w:tc>
      </w:tr>
      <w:tr>
        <w:trPr/>
        <w:tc>
          <w:tcPr>
            <w:tcW w:w="6850"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3081"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36"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pPr>
            <w:r>
              <w:rPr/>
              <w:t>  ​</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Valhi common stock</w:t>
            </w:r>
          </w:p>
        </w:tc>
        <w:tc>
          <w:tcPr>
            <w:tcW w:w="3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8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pPr>
            <w:r>
              <w:rPr/>
              <w:t>  ​</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Valhi 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December 31, 2025 and June 30, 2026, we held approximately 144,000 shares of Valhi’s common stock. At December 31, 2025 and June 30, 2026, the per share quoted market price of Valhi’s common stock was $12.05 and $14.67,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Valhi common stock we own is subject to the restrictions on resale pursuant to certain provisions of the SEC Rule 144. In addition, as a majority-owned subsidiary of Valhi we cannot vote our shares of Valhi common stock under Delaware General Corporation Law, but we do receive dividends from Valhi on these shares when declared and paid.</w:t>
      </w:r>
    </w:p>
    <w:p>
      <w:pPr>
        <w:pStyle w:val="TextBody"/>
        <w:bidi w:val="0"/>
        <w:spacing w:before="0" w:after="120"/>
        <w:ind w:left="0" w:right="0" w:hanging="0"/>
        <w:jc w:val="left"/>
        <w:rPr>
          <w:rFonts w:ascii="Times New Roman;Times;serif" w:hAnsi="Times New Roman;Times;serif"/>
          <w:b/>
          <w:sz w:val="20"/>
        </w:rPr>
      </w:pPr>
      <w:bookmarkStart w:id="827" w:name="Tc_ojo-5TLvb02_-ItNtKM84g_9_5"/>
      <w:bookmarkStart w:id="828" w:name="Tc_lTo3rhjJ8Umi6eTABNnHIg_9_2"/>
      <w:bookmarkStart w:id="829" w:name="Tc_BeiOj1TV602euwTkGNP0rg_9_0"/>
      <w:bookmarkStart w:id="830" w:name="Tc_WIHMLw7TbUORL0OXUm4NqA_8_6"/>
      <w:bookmarkStart w:id="831" w:name="Tc_zLPE8FyeUkyjCdKQN82SKA_8_3"/>
      <w:bookmarkStart w:id="832" w:name="Tc_iwV8TMaP00qxuowCHa_mOg_8_0"/>
      <w:bookmarkStart w:id="833" w:name="Tc_nrUXX8or8E2TyrIeEHJNEQ_7_0"/>
      <w:bookmarkStart w:id="834" w:name="Tc_Y_LJPjxImk6aN5Ml1B-oZA_6_3"/>
      <w:bookmarkStart w:id="835" w:name="Tc_up-HhvGbI0GzTqBGEFEfTA_6_0"/>
      <w:bookmarkStart w:id="836" w:name="Tc_iRLxL6pHmE-5srg9Uj3udQ_5_0"/>
      <w:bookmarkStart w:id="837" w:name="Tc_i3p8c88ezECo9ioL_Z6IeA_4_5"/>
      <w:bookmarkStart w:id="838" w:name="Tc_K3MKNHpiKE2sfoROZgD9kw_4_2"/>
      <w:bookmarkStart w:id="839" w:name="Tc_RNkroERyW0-7YI5166U-vA_4_0"/>
      <w:bookmarkStart w:id="840" w:name="Tc_X305O0EvQ0KH3g4Q-fck6w_3_2"/>
      <w:bookmarkStart w:id="841" w:name="Tc_7aj552RzMkCoaG1Bz76UQg_2_5"/>
      <w:bookmarkStart w:id="842" w:name="Tc_75mFKTFFQkq89A69_wSTXA_2_2"/>
      <w:bookmarkStart w:id="843" w:name="Tc_jRYWeHG6AEOuRneBTJSOMw_1_5"/>
      <w:bookmarkStart w:id="844" w:name="Tc_VYTm-S49l0mYG5Fv-G6Pdw_1_2"/>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r>
        <w:rPr>
          <w:rFonts w:ascii="Times New Roman;Times;serif" w:hAnsi="Times New Roman;Times;serif"/>
          <w:b/>
          <w:sz w:val="20"/>
        </w:rPr>
        <w:t>Note 6 - Long-term debt:</w:t>
      </w:r>
    </w:p>
    <w:p>
      <w:pPr>
        <w:pStyle w:val="TextBody"/>
        <w:bidi w:val="0"/>
        <w:spacing w:before="0" w:after="0"/>
        <w:ind w:left="0" w:right="0" w:hanging="0"/>
        <w:jc w:val="left"/>
        <w:rPr/>
      </w:pPr>
      <w:r>
        <w:rPr/>
        <w:t>​</w:t>
      </w:r>
    </w:p>
    <w:tbl>
      <w:tblPr>
        <w:tblW w:w="8238" w:type="dxa"/>
        <w:jc w:val="left"/>
        <w:tblInd w:w="0" w:type="dxa"/>
        <w:tblLayout w:type="fixed"/>
        <w:tblCellMar>
          <w:top w:w="0" w:type="dxa"/>
          <w:left w:w="0" w:type="dxa"/>
          <w:bottom w:w="0" w:type="dxa"/>
          <w:right w:w="0" w:type="dxa"/>
        </w:tblCellMar>
      </w:tblPr>
      <w:tblGrid>
        <w:gridCol w:w="5341"/>
        <w:gridCol w:w="346"/>
        <w:gridCol w:w="352"/>
        <w:gridCol w:w="953"/>
        <w:gridCol w:w="346"/>
        <w:gridCol w:w="214"/>
        <w:gridCol w:w="686"/>
      </w:tblGrid>
      <w:tr>
        <w:trPr/>
        <w:tc>
          <w:tcPr>
            <w:tcW w:w="5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391535" cy="175260"/>
                      <wp:effectExtent l="0" t="0" r="0" b="0"/>
                      <wp:wrapNone/>
                      <wp:docPr id="136" name="Frame136"/>
                      <a:graphic xmlns:a="http://schemas.openxmlformats.org/drawingml/2006/main">
                        <a:graphicData uri="http://schemas.microsoft.com/office/word/2010/wordprocessingShape">
                          <wps:wsp>
                            <wps:cNvSpPr txBox="1"/>
                            <wps:spPr>
                              <a:xfrm>
                                <a:off x="0" y="0"/>
                                <a:ext cx="3391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23520" cy="175260"/>
                      <wp:effectExtent l="0" t="0" r="0" b="0"/>
                      <wp:wrapNone/>
                      <wp:docPr id="138" name="Frame13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05155" cy="175260"/>
                      <wp:effectExtent l="0" t="0" r="0" b="0"/>
                      <wp:wrapNone/>
                      <wp:docPr id="139" name="Frame139"/>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5890" cy="175260"/>
                      <wp:effectExtent l="0" t="0" r="0" b="0"/>
                      <wp:wrapNone/>
                      <wp:docPr id="141" name="Frame141"/>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35610" cy="175260"/>
                      <wp:effectExtent l="0" t="0" r="0" b="0"/>
                      <wp:wrapNone/>
                      <wp:docPr id="142" name="Frame142"/>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5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823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5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Kronos International, Inc. 9.50% Senior Secured Notes due 2029</w:t>
            </w:r>
          </w:p>
        </w:tc>
        <w:tc>
          <w:tcPr>
            <w:tcW w:w="346"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503.7</w:t>
            </w:r>
          </w:p>
        </w:tc>
        <w:tc>
          <w:tcPr>
            <w:tcW w:w="346" w:type="dxa"/>
            <w:tcBorders/>
            <w:shd w:fill="CCEEFF" w:val="clear"/>
            <w:vAlign w:val="center"/>
          </w:tcPr>
          <w:p>
            <w:pPr>
              <w:pStyle w:val="TableContents"/>
              <w:bidi w:val="0"/>
              <w:spacing w:before="0" w:after="0"/>
              <w:ind w:left="0" w:right="0" w:hanging="0"/>
              <w:jc w:val="center"/>
              <w:rPr/>
            </w:pPr>
            <w:r>
              <w:rPr/>
              <w:t>​</w:t>
            </w:r>
          </w:p>
        </w:tc>
        <w:tc>
          <w:tcPr>
            <w:tcW w:w="214"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487.7</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Subordinated, Unsecured Term Loan from Contran</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 </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53.7</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 </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557.4</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569.6</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maturities</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557.4</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569.6</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9.50%</w:t>
      </w:r>
      <w:r>
        <w:rPr>
          <w:rFonts w:ascii="Times New Roman;Times;serif" w:hAnsi="Times New Roman;Times;serif"/>
          <w:sz w:val="20"/>
        </w:rPr>
        <w:t> </w:t>
      </w:r>
      <w:r>
        <w:rPr>
          <w:rFonts w:ascii="Times New Roman;Times;serif" w:hAnsi="Times New Roman;Times;serif"/>
          <w:i/>
          <w:sz w:val="20"/>
        </w:rPr>
        <w:t>Senior Secured Notes due 2029</w:t>
      </w:r>
      <w:r>
        <w:rPr>
          <w:rFonts w:ascii="Times New Roman;Times;serif" w:hAnsi="Times New Roman;Times;serif"/>
          <w:sz w:val="20"/>
        </w:rPr>
        <w:t> - At June 30, 2026, the carrying value of the 9.50% Senior Secured Notes due 2029 (€426.174 million aggregate principal amount outstanding) is stated net of $8.0 million of unamortized premium and $5.7 million of unamortized debt issuance costs (at December 31, 2025 the amounts were $9.0 million and $6.9 million, respectively).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Revolving credit facility (the “Global Revolver”) </w:t>
      </w:r>
      <w:r>
        <w:rPr>
          <w:rFonts w:ascii="Times New Roman;Times;serif" w:hAnsi="Times New Roman;Times;serif"/>
          <w:sz w:val="20"/>
        </w:rPr>
        <w:t>- During the first six months of 2026, we borrowed $280.2 million and repaid $252.0 million under our $350 million Global Revolver. The average interest rate on outstanding borrowings under this facility for the six months ended June 30, 2026 was 4.9%. At June 30, 2026, $28.2 million was outstanding under the Global Revolver and the average interest rate on outstanding borrowings was 5.3%. At June 30, 2026 we had borrowing availability of approximately $261 million less any amounts outstanding under this facility.</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Other</w:t>
      </w:r>
      <w:r>
        <w:rPr>
          <w:rFonts w:ascii="Times New Roman;Times;serif" w:hAnsi="Times New Roman;Times;serif"/>
          <w:sz w:val="20"/>
        </w:rPr>
        <w:t xml:space="preserve"> - We are in compliance with all of our debt covenants at June 30, 2026.</w:t>
      </w:r>
    </w:p>
    <w:p>
      <w:pPr>
        <w:pStyle w:val="TextBody"/>
        <w:bidi w:val="0"/>
        <w:spacing w:before="240" w:after="120"/>
        <w:ind w:left="0" w:right="0" w:hanging="0"/>
        <w:jc w:val="left"/>
        <w:rPr>
          <w:rFonts w:ascii="Times New Roman;Times;serif" w:hAnsi="Times New Roman;Times;serif"/>
          <w:b/>
          <w:sz w:val="20"/>
        </w:rPr>
      </w:pPr>
      <w:bookmarkStart w:id="845" w:name="Tc_83yUjoL4UUWNx77s-_CNEQ_12_5"/>
      <w:bookmarkStart w:id="846" w:name="Tc_NUt5LQOPOE2jlmGoEgX43Q_12_2"/>
      <w:bookmarkStart w:id="847" w:name="Tc_AgJ9pzZJuUCn90oVUV-cxg_12_0"/>
      <w:bookmarkStart w:id="848" w:name="Tc_yCI9vLBQcUiOPfec68emkA_11_0"/>
      <w:bookmarkStart w:id="849" w:name="Tc_aeaN8jSoi0SdsYHEecuR8A_9_0"/>
      <w:bookmarkStart w:id="850" w:name="Tc_XSvj6jo6yEqYZnHippRcFw_8_0"/>
      <w:bookmarkStart w:id="851" w:name="Tc_Ont0c3D1rUiMF90xPtv3_g_7_0"/>
      <w:bookmarkStart w:id="852" w:name="Tc_4F42gIsi2EurcIZMXtL1kA_6_0"/>
      <w:bookmarkStart w:id="853" w:name="Tc_o9UTESX_yU2MPaCqu8qvYA_5_0"/>
      <w:bookmarkStart w:id="854" w:name="Tc_nbv89k05d0aPAhs8_SEX1A_4_5"/>
      <w:bookmarkStart w:id="855" w:name="Tc_ftKIzlNjJUyiLSGdDItPmA_4_2"/>
      <w:bookmarkStart w:id="856" w:name="Tc_F4nKE1yWAU2w3nSvtpDXZg_4_0"/>
      <w:bookmarkStart w:id="857" w:name="Tc_jR2UOgYNWEW71jG-rzN-qw_3_2"/>
      <w:bookmarkStart w:id="858" w:name="Tc_KBMKcn1q5kOEjcvc8nyGSA_2_5"/>
      <w:bookmarkStart w:id="859" w:name="Tc_Eq5jmiFB9kKMY0LjHVdG1Q_2_2"/>
      <w:bookmarkStart w:id="860" w:name="Tc_HtZTZ6DZwEOoMhWDwR3ASg_1_5"/>
      <w:bookmarkStart w:id="861" w:name="Tc_EpmiaM0Bm0m8WVCpqpWhLA_1_2"/>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r>
        <w:rPr>
          <w:rFonts w:ascii="Times New Roman;Times;serif" w:hAnsi="Times New Roman;Times;serif"/>
          <w:b/>
          <w:sz w:val="20"/>
        </w:rPr>
        <w:t>Note 7 - Accounts payable and accrued liabilities:</w:t>
      </w:r>
    </w:p>
    <w:p>
      <w:pPr>
        <w:pStyle w:val="TextBody"/>
        <w:bidi w:val="0"/>
        <w:spacing w:before="0" w:after="0"/>
        <w:ind w:left="0" w:right="0" w:hanging="0"/>
        <w:jc w:val="left"/>
        <w:rPr/>
      </w:pPr>
      <w:r>
        <w:rPr/>
        <w:t>​</w:t>
      </w:r>
    </w:p>
    <w:tbl>
      <w:tblPr>
        <w:tblW w:w="5913" w:type="dxa"/>
        <w:jc w:val="left"/>
        <w:tblInd w:w="0" w:type="dxa"/>
        <w:tblLayout w:type="fixed"/>
        <w:tblCellMar>
          <w:top w:w="0" w:type="dxa"/>
          <w:left w:w="0" w:type="dxa"/>
          <w:bottom w:w="0" w:type="dxa"/>
          <w:right w:w="0" w:type="dxa"/>
        </w:tblCellMar>
      </w:tblPr>
      <w:tblGrid>
        <w:gridCol w:w="3016"/>
        <w:gridCol w:w="346"/>
        <w:gridCol w:w="352"/>
        <w:gridCol w:w="953"/>
        <w:gridCol w:w="346"/>
        <w:gridCol w:w="214"/>
        <w:gridCol w:w="68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915160" cy="175260"/>
                      <wp:effectExtent l="0" t="0" r="0" b="0"/>
                      <wp:wrapNone/>
                      <wp:docPr id="143" name="Frame143"/>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23520" cy="175260"/>
                      <wp:effectExtent l="0" t="0" r="0" b="0"/>
                      <wp:wrapNone/>
                      <wp:docPr id="145" name="Frame145"/>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05155" cy="175260"/>
                      <wp:effectExtent l="0" t="0" r="0" b="0"/>
                      <wp:wrapNone/>
                      <wp:docPr id="146" name="Frame146"/>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5890" cy="175260"/>
                      <wp:effectExtent l="0" t="0" r="0" b="0"/>
                      <wp:wrapNone/>
                      <wp:docPr id="148" name="Frame14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35610" cy="175260"/>
                      <wp:effectExtent l="0" t="0" r="0" b="0"/>
                      <wp:wrapNone/>
                      <wp:docPr id="149" name="Frame149"/>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91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51"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224.0</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172.5</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sales discounts and rebates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26.3</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Payables to affiliates: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Contran - trade items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severance costs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60.1</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354.4</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282.2</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Note 15 for additional information related to accrued severance costs.</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120"/>
        <w:ind w:left="0" w:right="0" w:hanging="0"/>
        <w:jc w:val="left"/>
        <w:rPr>
          <w:rFonts w:ascii="Times New Roman;Times;serif" w:hAnsi="Times New Roman;Times;serif"/>
          <w:b/>
          <w:sz w:val="20"/>
        </w:rPr>
      </w:pPr>
      <w:bookmarkStart w:id="862" w:name="Tc_d_eVUQP28EeHGBikE7rK_g_9_5"/>
      <w:bookmarkStart w:id="863" w:name="Tc_GrT4jbLx4kGnyN5lZJXr6g_9_2"/>
      <w:bookmarkStart w:id="864" w:name="Tc_Vb0dxkSB80-0qUkJPKl8gQ_9_0"/>
      <w:bookmarkStart w:id="865" w:name="Tc_9ZPf8F9fzUiShlMng_Lh8w_8_0"/>
      <w:bookmarkStart w:id="866" w:name="Tc_I4Q8cp9eWEmEyZcMNvczmg_7_0"/>
      <w:bookmarkStart w:id="867" w:name="Tc_Amt4voOh7kaEGBHz9QlmNg_6_3"/>
      <w:bookmarkStart w:id="868" w:name="Tc_GYuVw_Q0qEehdWFhChMhyw_6_0"/>
      <w:bookmarkStart w:id="869" w:name="Tc_Lp3P_-yS3USYXqeKo0rfgQ_5_0"/>
      <w:bookmarkStart w:id="870" w:name="Tc_X0kGMiJ4KkqmIWFOGfMDMA_4_5"/>
      <w:bookmarkStart w:id="871" w:name="Tc_Fz10Vs2avEOsh06s3Mybkg_4_2"/>
      <w:bookmarkStart w:id="872" w:name="Tc_aNjM9ILY3EmqcasLLXkpwg_4_0"/>
      <w:bookmarkStart w:id="873" w:name="Tc_goaHtome7kijjhjMNlLnpA_3_2"/>
      <w:bookmarkStart w:id="874" w:name="Tc_sW_DsbnExku_-J98CZS0CQ_2_5"/>
      <w:bookmarkStart w:id="875" w:name="Tc_2_c9a6XAj0-oajQ5A0oMsw_2_2"/>
      <w:bookmarkStart w:id="876" w:name="Tc_FtyAv2v9lku5MUcbCzcz4g_1_5"/>
      <w:bookmarkStart w:id="877" w:name="Tc_FWfCVfYK0kqlmUxS5zdeSQ_1_2"/>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r>
        <w:rPr>
          <w:rFonts w:ascii="Times New Roman;Times;serif" w:hAnsi="Times New Roman;Times;serif"/>
          <w:b/>
          <w:sz w:val="20"/>
        </w:rPr>
        <w:t>Note 8 - Other noncurrent liabilities:</w:t>
      </w:r>
    </w:p>
    <w:p>
      <w:pPr>
        <w:pStyle w:val="TextBody"/>
        <w:bidi w:val="0"/>
        <w:spacing w:before="0" w:after="0"/>
        <w:ind w:left="0" w:right="0" w:hanging="0"/>
        <w:jc w:val="left"/>
        <w:rPr/>
      </w:pPr>
      <w:r>
        <w:rPr/>
        <w:t>​</w:t>
      </w:r>
    </w:p>
    <w:tbl>
      <w:tblPr>
        <w:tblW w:w="5598" w:type="dxa"/>
        <w:jc w:val="left"/>
        <w:tblInd w:w="0" w:type="dxa"/>
        <w:tblLayout w:type="fixed"/>
        <w:tblCellMar>
          <w:top w:w="0" w:type="dxa"/>
          <w:left w:w="0" w:type="dxa"/>
          <w:bottom w:w="0" w:type="dxa"/>
          <w:right w:w="0" w:type="dxa"/>
        </w:tblCellMar>
      </w:tblPr>
      <w:tblGrid>
        <w:gridCol w:w="2701"/>
        <w:gridCol w:w="346"/>
        <w:gridCol w:w="405"/>
        <w:gridCol w:w="900"/>
        <w:gridCol w:w="346"/>
        <w:gridCol w:w="239"/>
        <w:gridCol w:w="66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715135" cy="175260"/>
                      <wp:effectExtent l="0" t="0" r="0" b="0"/>
                      <wp:wrapNone/>
                      <wp:docPr id="150" name="Frame150"/>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57175" cy="175260"/>
                      <wp:effectExtent l="0" t="0" r="0" b="0"/>
                      <wp:wrapNone/>
                      <wp:docPr id="152" name="Frame152"/>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71500" cy="175260"/>
                      <wp:effectExtent l="0" t="0" r="0" b="0"/>
                      <wp:wrapNone/>
                      <wp:docPr id="153" name="Frame15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51765" cy="175260"/>
                      <wp:effectExtent l="0" t="0" r="0" b="0"/>
                      <wp:wrapNone/>
                      <wp:docPr id="155" name="Frame15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19735" cy="175260"/>
                      <wp:effectExtent l="0" t="0" r="0" b="0"/>
                      <wp:wrapNone/>
                      <wp:docPr id="156" name="Frame15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59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51"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retirement obligations</w:t>
            </w:r>
          </w:p>
        </w:tc>
        <w:tc>
          <w:tcPr>
            <w:tcW w:w="346" w:type="dxa"/>
            <w:tcBorders/>
            <w:shd w:fill="CCEEFF" w:val="clear"/>
            <w:vAlign w:val="center"/>
          </w:tcPr>
          <w:p>
            <w:pPr>
              <w:pStyle w:val="TableContents"/>
              <w:bidi w:val="0"/>
              <w:spacing w:before="0" w:after="1"/>
              <w:ind w:left="0" w:right="0" w:hanging="0"/>
              <w:jc w:val="center"/>
              <w:rPr/>
            </w:pPr>
            <w:r>
              <w:rPr/>
              <w:t>​</w:t>
            </w:r>
          </w:p>
        </w:tc>
        <w:tc>
          <w:tcPr>
            <w:tcW w:w="4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shd w:fill="CCEEFF" w:val="clear"/>
            <w:vAlign w:val="center"/>
          </w:tcPr>
          <w:p>
            <w:pPr>
              <w:pStyle w:val="TableContents"/>
              <w:bidi w:val="0"/>
              <w:spacing w:before="0" w:after="1"/>
              <w:ind w:left="0" w:right="0" w:hanging="0"/>
              <w:jc w:val="center"/>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postretirement benefits</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Uncertain tax positions</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4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6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32.8</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Note 11 for additional information related to the uncertain tax positions.</w:t>
      </w:r>
    </w:p>
    <w:p>
      <w:pPr>
        <w:pStyle w:val="TextBody"/>
        <w:bidi w:val="0"/>
        <w:spacing w:before="0" w:after="240"/>
        <w:ind w:left="0" w:right="0" w:firstLine="72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120"/>
        <w:ind w:left="0" w:right="0" w:hanging="0"/>
        <w:jc w:val="left"/>
        <w:rPr>
          <w:rFonts w:ascii="Times New Roman;Times;serif" w:hAnsi="Times New Roman;Times;serif"/>
          <w:b/>
          <w:sz w:val="20"/>
        </w:rPr>
      </w:pPr>
      <w:bookmarkStart w:id="878" w:name="Tc_bkqwTLB3B06jjAHSxyPkyA_18_11"/>
      <w:bookmarkStart w:id="879" w:name="Tc_Hoi9nwXlOUiyCUlqYUVqXA_18_8"/>
      <w:bookmarkStart w:id="880" w:name="Tc_BNSnxZ1ggkKdAvnivAbhsA_18_5"/>
      <w:bookmarkStart w:id="881" w:name="Tc_McYSKLPA1kqEaieO3Jh1kw_18_2"/>
      <w:bookmarkStart w:id="882" w:name="Tc_QT-Qj9f800ew71wpMxqgQA_18_0"/>
      <w:bookmarkStart w:id="883" w:name="Tc_h0bf3ecfFkulY_a7CZEhrQ_17_0"/>
      <w:bookmarkStart w:id="884" w:name="Tc_MztbqG2cK0qTS4F1G7gxMQ_16_0"/>
      <w:bookmarkStart w:id="885" w:name="Tc_JmjOoG6G00CwBPzwi4YFOQ_15_11"/>
      <w:bookmarkStart w:id="886" w:name="Tc_0zgysTc9P0i0CZ5kgOzW6g_15_8"/>
      <w:bookmarkStart w:id="887" w:name="Tc_1N-1mgn6WEC0g8VOXkG2RQ_15_5"/>
      <w:bookmarkStart w:id="888" w:name="Tc_VrXF3bUbaUi144TQtZqYcg_15_2"/>
      <w:bookmarkStart w:id="889" w:name="Tc_G1UimwmJgkGIW47LDGQMYQ_15_0"/>
      <w:bookmarkStart w:id="890" w:name="Tc_0C2ybiYLhEaNHz3IhuLe7Q_14_0"/>
      <w:bookmarkStart w:id="891" w:name="Tc_xBh87FMxEEK4P84Mt0MOMA_12_11"/>
      <w:bookmarkStart w:id="892" w:name="Tc_ArJ1qvOne0ip-cBX-igiIQ_12_8"/>
      <w:bookmarkStart w:id="893" w:name="Tc_0DTJNICCi0-L7OFDLTnxhA_12_5"/>
      <w:bookmarkStart w:id="894" w:name="Tc_1bzpHyJowEO9LnXZVIJ9-A_12_2"/>
      <w:bookmarkStart w:id="895" w:name="Tc_5LXlKocp_kGrhsYmiAQAtw_12_0"/>
      <w:bookmarkStart w:id="896" w:name="Tc_rdG1dV9pd0unw7pme_Lq2A_11_0"/>
      <w:bookmarkStart w:id="897" w:name="Tc_X6PFNmwCIkCXJsq5N0jW2Q_10_0"/>
      <w:bookmarkStart w:id="898" w:name="Tc_BGT3O7_l9EGMBiDHofrkXw_9_0"/>
      <w:bookmarkStart w:id="899" w:name="Tc_dTcPvI_RBUyIESyGRrpROg_8_0"/>
      <w:bookmarkStart w:id="900" w:name="Tc_TWJMS5mi6Ue-9v7gigBJRw_7_0"/>
      <w:bookmarkStart w:id="901" w:name="Tc_CBeL61zgQES1MydBL7K4Vw_6_11"/>
      <w:bookmarkStart w:id="902" w:name="Tc_MlgkUPDwGUqn2q5T960xBw_6_8"/>
      <w:bookmarkStart w:id="903" w:name="Tc_NYF2dhSpN0KREgCdtBsgEA_6_5"/>
      <w:bookmarkStart w:id="904" w:name="Tc_CxIbb67zH0-o72Cy-VfI4Q_6_2"/>
      <w:bookmarkStart w:id="905" w:name="Tc_De-rF1D4-kKsX9lyY2m1ew_6_0"/>
      <w:bookmarkStart w:id="906" w:name="Tc_4Jpet6gHuES5AoJz0yD3rw_5_0"/>
      <w:bookmarkStart w:id="907" w:name="Tc_kEl5Ir2_3061Sg1ZUlttjw_4_2"/>
      <w:bookmarkStart w:id="908" w:name="Tc_IQD4iydpQkaUA8z3fOywKA_3_11"/>
      <w:bookmarkStart w:id="909" w:name="Tc_i6grZGMqUUOj3QyZn6LnPw_3_8"/>
      <w:bookmarkStart w:id="910" w:name="Tc_s2G63lCQPEmrUS94jsUOlg_3_5"/>
      <w:bookmarkStart w:id="911" w:name="Tc_rHG6ElKrB06H6F-z5Klb9Q_3_2"/>
      <w:bookmarkStart w:id="912" w:name="Tc_w6olxmbOzUitOiBQTTGBSg_2_8"/>
      <w:bookmarkStart w:id="913" w:name="Tc_-JawIZ4QEUWbKO1_W27Gpw_2_2"/>
      <w:bookmarkStart w:id="914" w:name="Tc_k9JEDwCix0emcZa6Dpx0iw_1_8"/>
      <w:bookmarkStart w:id="915" w:name="Tc_se2Q1ixslEWUPbBP3bg0pg_1_2"/>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r>
        <w:rPr>
          <w:rFonts w:ascii="Times New Roman;Times;serif" w:hAnsi="Times New Roman;Times;serif"/>
          <w:b/>
          <w:sz w:val="20"/>
        </w:rPr>
        <w:t>Note 9 - Revenue recognition:</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following table disaggregates our net sales by place of manufacture (point of origin) and to the location of the customer (point of destination), which are the categories that depict how the nature, amount, timing and uncertainty of revenue and cash flows are affected by economic factors.</w:t>
      </w:r>
    </w:p>
    <w:p>
      <w:pPr>
        <w:pStyle w:val="TextBody"/>
        <w:bidi w:val="0"/>
        <w:spacing w:before="0" w:after="0"/>
        <w:ind w:left="0" w:right="0" w:hanging="0"/>
        <w:jc w:val="left"/>
        <w:rPr/>
      </w:pPr>
      <w:r>
        <w:rPr/>
        <w:t>​</w:t>
      </w:r>
    </w:p>
    <w:tbl>
      <w:tblPr>
        <w:tblW w:w="7783" w:type="dxa"/>
        <w:jc w:val="left"/>
        <w:tblInd w:w="0" w:type="dxa"/>
        <w:tblLayout w:type="fixed"/>
        <w:tblCellMar>
          <w:top w:w="0" w:type="dxa"/>
          <w:left w:w="0" w:type="dxa"/>
          <w:bottom w:w="0" w:type="dxa"/>
          <w:right w:w="0" w:type="dxa"/>
        </w:tblCellMar>
      </w:tblPr>
      <w:tblGrid>
        <w:gridCol w:w="2656"/>
        <w:gridCol w:w="346"/>
        <w:gridCol w:w="211"/>
        <w:gridCol w:w="691"/>
        <w:gridCol w:w="346"/>
        <w:gridCol w:w="211"/>
        <w:gridCol w:w="691"/>
        <w:gridCol w:w="346"/>
        <w:gridCol w:w="211"/>
        <w:gridCol w:w="691"/>
        <w:gridCol w:w="346"/>
        <w:gridCol w:w="211"/>
        <w:gridCol w:w="82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686560" cy="175260"/>
                      <wp:effectExtent l="0" t="0" r="0" b="0"/>
                      <wp:wrapNone/>
                      <wp:docPr id="157" name="Frame157"/>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38785" cy="175260"/>
                      <wp:effectExtent l="0" t="0" r="0" b="0"/>
                      <wp:wrapNone/>
                      <wp:docPr id="160" name="Frame16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38785" cy="175260"/>
                      <wp:effectExtent l="0" t="0" r="0" b="0"/>
                      <wp:wrapNone/>
                      <wp:docPr id="163" name="Frame1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38785" cy="175260"/>
                      <wp:effectExtent l="0" t="0" r="0" b="0"/>
                      <wp:wrapNone/>
                      <wp:docPr id="166" name="Frame1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24510" cy="175260"/>
                      <wp:effectExtent l="0" t="0" r="0" b="0"/>
                      <wp:wrapNone/>
                      <wp:docPr id="169" name="Frame16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28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22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78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781"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 point of origin: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798.4</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480.3</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175.5</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Belgium</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134.5</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Norway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128.9</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(649.7)</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1,067.9</w:t>
            </w:r>
          </w:p>
        </w:tc>
      </w:tr>
      <w:tr>
        <w:trPr/>
        <w:tc>
          <w:tcPr>
            <w:tcW w:w="26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 point of destination: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Europe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528.6</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385.2</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154.1</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1,067.9</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120"/>
        <w:ind w:left="0" w:right="0" w:hanging="0"/>
        <w:jc w:val="left"/>
        <w:rPr>
          <w:rFonts w:ascii="Times New Roman;Times;serif" w:hAnsi="Times New Roman;Times;serif"/>
          <w:b/>
          <w:sz w:val="20"/>
        </w:rPr>
      </w:pPr>
      <w:bookmarkStart w:id="916" w:name="Tc_4jctlzbI2Eyz2r7NKTiQAg_10_11"/>
      <w:bookmarkStart w:id="917" w:name="Tc_A_6r5hjdo0WZk6-DSiE6mg_10_8"/>
      <w:bookmarkStart w:id="918" w:name="Tc_XJZSaNhQ3E6WHfhGTGi_VQ_10_5"/>
      <w:bookmarkStart w:id="919" w:name="Tc_JfQubE_Qak2R39K5fA7Y1g_10_2"/>
      <w:bookmarkStart w:id="920" w:name="Tc_W2F6hUMSpk6MczWnWp-BhQ_10_0"/>
      <w:bookmarkStart w:id="921" w:name="Tc_fQCnIFVx3UWGEVnWaavr4w_9_0"/>
      <w:bookmarkStart w:id="922" w:name="Tc__Dq4miFSS0umEprY67z8-A_8_0"/>
      <w:bookmarkStart w:id="923" w:name="Tc_Anc8mcnYWEWQdYs2BWGXFg_7_0"/>
      <w:bookmarkStart w:id="924" w:name="Tc_biPVG3xXWESUkbdKmt9mLg_6_11"/>
      <w:bookmarkStart w:id="925" w:name="Tc_psv-SsmxYUq_xIn6VUJp2Q_6_8"/>
      <w:bookmarkStart w:id="926" w:name="Tc_6TQmqv7d_kubWBeImqOKWQ_6_5"/>
      <w:bookmarkStart w:id="927" w:name="Tc_KZez9m76Z0eHH2hygS2vDg_6_2"/>
      <w:bookmarkStart w:id="928" w:name="Tc_ees5ClPfM020cjqZFKBgoQ_6_0"/>
      <w:bookmarkStart w:id="929" w:name="Tc_ph6iOHHiXk2SF1OQ1bZKNw_5_0"/>
      <w:bookmarkStart w:id="930" w:name="Tc_KcGuSC2m-EuGSVidqkyPzw_4_2"/>
      <w:bookmarkStart w:id="931" w:name="Tc_luppSxEuvk-VnMTyoETvew_3_11"/>
      <w:bookmarkStart w:id="932" w:name="Tc_NUna1EmBn0m1hlSIJXLJfA_3_8"/>
      <w:bookmarkStart w:id="933" w:name="Tc_5Cxula8eUkONL5htk-p18w_3_5"/>
      <w:bookmarkStart w:id="934" w:name="Tc_z__ggtB1NkuvaFbOxd_j8w_3_2"/>
      <w:bookmarkStart w:id="935" w:name="Tc_y-XI4JWSo0qRUQn7o8eBNg_2_8"/>
      <w:bookmarkStart w:id="936" w:name="Tc_Nj24phsTx0WDvKIlXG7v0w_2_2"/>
      <w:bookmarkStart w:id="937" w:name="Tc_AbeWvuxtsUqyUygHIWBXOg_1_8"/>
      <w:bookmarkStart w:id="938" w:name="Tc_vj66ot6dEE2J26FLvsp8Fg_1_2"/>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r>
        <w:rPr>
          <w:rFonts w:ascii="Times New Roman;Times;serif" w:hAnsi="Times New Roman;Times;serif"/>
          <w:b/>
          <w:sz w:val="20"/>
        </w:rPr>
        <w:t>Note 10 - Employee benefit plans: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components of net periodic defined benefit pension cost are presented in the table below.</w:t>
      </w:r>
    </w:p>
    <w:p>
      <w:pPr>
        <w:pStyle w:val="TextBody"/>
        <w:bidi w:val="0"/>
        <w:spacing w:before="0" w:after="0"/>
        <w:ind w:left="0" w:right="0" w:hanging="0"/>
        <w:jc w:val="left"/>
        <w:rPr/>
      </w:pPr>
      <w:r>
        <w:rPr/>
        <w:t>​</w:t>
      </w:r>
    </w:p>
    <w:tbl>
      <w:tblPr>
        <w:tblW w:w="7551" w:type="dxa"/>
        <w:jc w:val="left"/>
        <w:tblInd w:w="0" w:type="dxa"/>
        <w:tblLayout w:type="fixed"/>
        <w:tblCellMar>
          <w:top w:w="0" w:type="dxa"/>
          <w:left w:w="0" w:type="dxa"/>
          <w:bottom w:w="0" w:type="dxa"/>
          <w:right w:w="0" w:type="dxa"/>
        </w:tblCellMar>
      </w:tblPr>
      <w:tblGrid>
        <w:gridCol w:w="3016"/>
        <w:gridCol w:w="346"/>
        <w:gridCol w:w="226"/>
        <w:gridCol w:w="517"/>
        <w:gridCol w:w="372"/>
        <w:gridCol w:w="226"/>
        <w:gridCol w:w="517"/>
        <w:gridCol w:w="346"/>
        <w:gridCol w:w="211"/>
        <w:gridCol w:w="586"/>
        <w:gridCol w:w="346"/>
        <w:gridCol w:w="211"/>
        <w:gridCol w:w="63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915160" cy="175260"/>
                      <wp:effectExtent l="0" t="0" r="0" b="0"/>
                      <wp:wrapNone/>
                      <wp:docPr id="170" name="Frame170"/>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43510" cy="175260"/>
                      <wp:effectExtent l="0" t="0" r="0" b="0"/>
                      <wp:wrapNone/>
                      <wp:docPr id="172" name="Frame17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28295" cy="175260"/>
                      <wp:effectExtent l="0" t="0" r="0" b="0"/>
                      <wp:wrapNone/>
                      <wp:docPr id="173" name="Frame173"/>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36220" cy="175260"/>
                      <wp:effectExtent l="0" t="0" r="0" b="0"/>
                      <wp:wrapNone/>
                      <wp:docPr id="174" name="Frame174"/>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43510" cy="175260"/>
                      <wp:effectExtent l="0" t="0" r="0" b="0"/>
                      <wp:wrapNone/>
                      <wp:docPr id="175" name="Frame17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28295" cy="175260"/>
                      <wp:effectExtent l="0" t="0" r="0" b="0"/>
                      <wp:wrapNone/>
                      <wp:docPr id="176" name="Frame176"/>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72110" cy="175260"/>
                      <wp:effectExtent l="0" t="0" r="0" b="0"/>
                      <wp:wrapNone/>
                      <wp:docPr id="179" name="Frame17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00685" cy="175260"/>
                      <wp:effectExtent l="0" t="0" r="0" b="0"/>
                      <wp:wrapNone/>
                      <wp:docPr id="182" name="Frame18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5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98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19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2" w:type="dxa"/>
            <w:tcBorders/>
            <w:vAlign w:val="center"/>
          </w:tcPr>
          <w:p>
            <w:pPr>
              <w:pStyle w:val="TableContents"/>
              <w:bidi w:val="0"/>
              <w:spacing w:before="0" w:after="0"/>
              <w:ind w:left="0" w:right="0" w:hanging="0"/>
              <w:jc w:val="left"/>
              <w:rPr/>
            </w:pPr>
            <w:r>
              <w:rPr/>
              <w:t>  ​ ​ ​</w:t>
            </w:r>
          </w:p>
        </w:tc>
        <w:tc>
          <w:tcPr>
            <w:tcW w:w="7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55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9"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pension cost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right"/>
              <w:rPr/>
            </w:pPr>
            <w:r>
              <w:rPr/>
              <w:t>  ​</w:t>
            </w:r>
          </w:p>
        </w:tc>
        <w:tc>
          <w:tcPr>
            <w:tcW w:w="372"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7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cost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7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5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7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51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actuarial losses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72"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72"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3.9</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our 2026 contributions for our pension plans to be approximately $17 million.</w:t>
      </w:r>
    </w:p>
    <w:p>
      <w:pPr>
        <w:pStyle w:val="TextBody"/>
        <w:bidi w:val="0"/>
        <w:spacing w:before="0" w:after="120"/>
        <w:ind w:left="0" w:right="0" w:hanging="0"/>
        <w:jc w:val="left"/>
        <w:rPr>
          <w:rFonts w:ascii="Times New Roman;Times;serif" w:hAnsi="Times New Roman;Times;serif"/>
          <w:b/>
          <w:sz w:val="20"/>
        </w:rPr>
      </w:pPr>
      <w:bookmarkStart w:id="939" w:name="Tc_Q-TRReD0oEmZSKXXVQt6Fg_29_11"/>
      <w:bookmarkStart w:id="940" w:name="Tc_bBezMObiOkuLA-IJRJ8GTA_29_8"/>
      <w:bookmarkStart w:id="941" w:name="Tc_eGtWuvMlYkqI8UMxhmet5A_29_5"/>
      <w:bookmarkStart w:id="942" w:name="Tc_B3sf1ji_ikSVsy6Kku6G1g_29_2"/>
      <w:bookmarkStart w:id="943" w:name="Tc_GPp2tjkvPkasqGheXk4-Aw_29_0"/>
      <w:bookmarkStart w:id="944" w:name="Tc_hbYkf6RJQ0-SoCXk2epNHQ_28_0"/>
      <w:bookmarkStart w:id="945" w:name="Tc_64SYBUBo_0Kflh9bFogI7w_27_11"/>
      <w:bookmarkStart w:id="946" w:name="Tc_7ojH01834Uq3S6X6xRkwDA_27_8"/>
      <w:bookmarkStart w:id="947" w:name="Tc_heh_vNylzU-Gba4moD0Z1A_27_5"/>
      <w:bookmarkStart w:id="948" w:name="Tc_8sCHkVLqYUeVvo3YiGZOng_27_2"/>
      <w:bookmarkStart w:id="949" w:name="Tc_gLw9GqDqJ0WH0AWR7PtTvQ_27_0"/>
      <w:bookmarkStart w:id="950" w:name="Tc_4786W0oMIEe9qRN3bmRVIA_26_0"/>
      <w:bookmarkStart w:id="951" w:name="Tc_A6sVYuw8tkG4m5PzW9NCWA_24_11"/>
      <w:bookmarkStart w:id="952" w:name="Tc_F6UcNYUN_EyuWhpuT-fAIw_24_8"/>
      <w:bookmarkStart w:id="953" w:name="Tc_d_U4drdmn0Cify1e-w2oRg_24_5"/>
      <w:bookmarkStart w:id="954" w:name="Tc_kGgvwcXT60KZiiwugrQwyg_24_2"/>
      <w:bookmarkStart w:id="955" w:name="Tc_gfoE4bMFi0iWiRc33ucgmw_23_0"/>
      <w:bookmarkStart w:id="956" w:name="Tc_QMZta-zpAkKas-WuZOV53g_22_3"/>
      <w:bookmarkStart w:id="957" w:name="Tc_rMZOZQmdYUKazt7mj_jLJA_22_0"/>
      <w:bookmarkStart w:id="958" w:name="Tc_vK0hZRlUsEypmk5tLQdaLQ_21_0"/>
      <w:bookmarkStart w:id="959" w:name="Tc_N_FSdfokNU6mXybgTckygA_20_0"/>
      <w:bookmarkStart w:id="960" w:name="Tc_z__BAj3YnUSR-N9PdcxViQ_19_0"/>
      <w:bookmarkStart w:id="961" w:name="Tc_kKOFpHY_oU-9qzTA6ea8EQ_18_0"/>
      <w:bookmarkStart w:id="962" w:name="Tc_yYFabMOq4EOrMHY41xQEjA_17_0"/>
      <w:bookmarkStart w:id="963" w:name="Tc_hiU2e3ECFUyJKogkRc-s2g_16_0"/>
      <w:bookmarkStart w:id="964" w:name="Tc_NFQE7pk2Yk2FIUOxGTAk0Q_15_0"/>
      <w:bookmarkStart w:id="965" w:name="Tc_D-8iPwc6MkC3WV9hxvkWPQ_14_0"/>
      <w:bookmarkStart w:id="966" w:name="Tc_H6S_Noj_oECP4NLJfUZPxQ_13_0"/>
      <w:bookmarkStart w:id="967" w:name="Tc_afr__g55NkGyelSa8xbLRA_12_0"/>
      <w:bookmarkStart w:id="968" w:name="Tc_UkM45Lw1_kaq6C06Ui2n2w_11_0"/>
      <w:bookmarkStart w:id="969" w:name="Tc_T7ulBr5rCUyJVPVEiFC2kQ_10_0"/>
      <w:bookmarkStart w:id="970" w:name="Tc_pm-TJh6fHEaPgcWW_SPcug_9_9"/>
      <w:bookmarkStart w:id="971" w:name="Tc_Mg4QzoVl4EqLJshTWmr3Vg_9_0"/>
      <w:bookmarkStart w:id="972" w:name="Tc_hmINxV6vf0O-D4aDJSlNrg_8_0"/>
      <w:bookmarkStart w:id="973" w:name="Tc_WQEgMWRbV0CfZdLLEQxLDQ_7_0"/>
      <w:bookmarkStart w:id="974" w:name="Tc_J6clN_K0fEy2T5KuFb-Z5Q_6_0"/>
      <w:bookmarkStart w:id="975" w:name="Tc_Cnoeri09pkmgPqVEAkJsJw_5_11"/>
      <w:bookmarkStart w:id="976" w:name="Tc_NpV9L6aphkGVHm2F4mxbSQ_5_8"/>
      <w:bookmarkStart w:id="977" w:name="Tc_uN-BmILaxkOob2CAXjygkQ_5_5"/>
      <w:bookmarkStart w:id="978" w:name="Tc_igfBffTER02ZOicZpVeREw_5_2"/>
      <w:bookmarkStart w:id="979" w:name="Tc_zwhCKonBl0KTtgXl0LdaxA_5_0"/>
      <w:bookmarkStart w:id="980" w:name="Tc_NbW_FJVWbkus452CoplEJQ_4_2"/>
      <w:bookmarkStart w:id="981" w:name="Tc_bCZNxdJ7J0qzutjz5bFKYg_3_11"/>
      <w:bookmarkStart w:id="982" w:name="Tc_ia2z2AZhhESmdQFiZt68-A_3_8"/>
      <w:bookmarkStart w:id="983" w:name="Tc_1gZlkaj1RE2hRFnb1S7keg_3_5"/>
      <w:bookmarkStart w:id="984" w:name="Tc_57xqtuwjTEmTcip9PXeKkg_3_2"/>
      <w:bookmarkStart w:id="985" w:name="Tc_N7QDNXzMcUObMiIFWyuqFA_2_8"/>
      <w:bookmarkStart w:id="986" w:name="Tc_t5d0Y00-EEyh-mgXw4wh_Q_2_2"/>
      <w:bookmarkStart w:id="987" w:name="Tc_kalLoskCv0a_gcWPKoMRtA_1_8"/>
      <w:bookmarkStart w:id="988" w:name="Tc_I5snC0pdtE6NN985XR2koQ_1_2"/>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r>
        <w:rPr>
          <w:rFonts w:ascii="Times New Roman;Times;serif" w:hAnsi="Times New Roman;Times;serif"/>
          <w:b/>
          <w:sz w:val="20"/>
        </w:rPr>
        <w:t>Note 11 - 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provision for income taxes and the difference between such provision for income taxes and the amount that would be expected using the U.S. federal statutory income tax rate of 21% are presented below. </w:t>
      </w:r>
    </w:p>
    <w:p>
      <w:pPr>
        <w:pStyle w:val="TextBody"/>
        <w:bidi w:val="0"/>
        <w:spacing w:before="0" w:after="0"/>
        <w:ind w:left="0" w:right="0" w:hanging="0"/>
        <w:jc w:val="left"/>
        <w:rPr/>
      </w:pPr>
      <w:r>
        <w:rPr/>
        <w:t>​</w:t>
      </w:r>
    </w:p>
    <w:tbl>
      <w:tblPr>
        <w:tblW w:w="9292" w:type="dxa"/>
        <w:jc w:val="left"/>
        <w:tblInd w:w="0" w:type="dxa"/>
        <w:tblLayout w:type="fixed"/>
        <w:tblCellMar>
          <w:top w:w="0" w:type="dxa"/>
          <w:left w:w="0" w:type="dxa"/>
          <w:bottom w:w="0" w:type="dxa"/>
          <w:right w:w="0" w:type="dxa"/>
        </w:tblCellMar>
      </w:tblPr>
      <w:tblGrid>
        <w:gridCol w:w="4666"/>
        <w:gridCol w:w="346"/>
        <w:gridCol w:w="221"/>
        <w:gridCol w:w="504"/>
        <w:gridCol w:w="363"/>
        <w:gridCol w:w="221"/>
        <w:gridCol w:w="504"/>
        <w:gridCol w:w="346"/>
        <w:gridCol w:w="211"/>
        <w:gridCol w:w="481"/>
        <w:gridCol w:w="346"/>
        <w:gridCol w:w="211"/>
        <w:gridCol w:w="481"/>
        <w:gridCol w:w="391"/>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962910" cy="175260"/>
                      <wp:effectExtent l="0" t="0" r="0" b="0"/>
                      <wp:wrapNone/>
                      <wp:docPr id="183" name="Frame183"/>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40335" cy="175260"/>
                      <wp:effectExtent l="0" t="0" r="0" b="0"/>
                      <wp:wrapNone/>
                      <wp:docPr id="185" name="Frame18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20040" cy="175260"/>
                      <wp:effectExtent l="0" t="0" r="0" b="0"/>
                      <wp:wrapNone/>
                      <wp:docPr id="186" name="Frame186"/>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30505" cy="175260"/>
                      <wp:effectExtent l="0" t="0" r="0" b="0"/>
                      <wp:wrapNone/>
                      <wp:docPr id="187" name="Frame187"/>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0335" cy="175260"/>
                      <wp:effectExtent l="0" t="0" r="0" b="0"/>
                      <wp:wrapNone/>
                      <wp:docPr id="188" name="Frame18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20040" cy="175260"/>
                      <wp:effectExtent l="0" t="0" r="0" b="0"/>
                      <wp:wrapNone/>
                      <wp:docPr id="189" name="Frame189"/>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05435" cy="175260"/>
                      <wp:effectExtent l="0" t="0" r="0" b="0"/>
                      <wp:wrapNone/>
                      <wp:docPr id="192" name="Frame19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05435" cy="175260"/>
                      <wp:effectExtent l="0" t="0" r="0" b="0"/>
                      <wp:wrapNone/>
                      <wp:docPr id="195" name="Frame19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48285" cy="175260"/>
                      <wp:effectExtent l="0" t="0" r="0" b="0"/>
                      <wp:wrapNone/>
                      <wp:docPr id="196" name="Frame19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46" w:type="dxa"/>
            <w:tcBorders/>
            <w:vAlign w:val="center"/>
          </w:tcPr>
          <w:p>
            <w:pPr>
              <w:pStyle w:val="TableContents"/>
              <w:bidi w:val="0"/>
              <w:spacing w:before="0" w:after="1"/>
              <w:ind w:left="0" w:right="0" w:hanging="0"/>
              <w:jc w:val="left"/>
              <w:rPr/>
            </w:pPr>
            <w:r>
              <w:rPr/>
              <w:t>​</w:t>
            </w:r>
          </w:p>
        </w:tc>
        <w:tc>
          <w:tcPr>
            <w:tcW w:w="17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91" w:type="dxa"/>
            <w:tcBorders/>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17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1" w:type="dxa"/>
            <w:tcBorders/>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3" w:type="dxa"/>
            <w:tcBorders/>
            <w:vAlign w:val="center"/>
          </w:tcPr>
          <w:p>
            <w:pPr>
              <w:pStyle w:val="TableContents"/>
              <w:bidi w:val="0"/>
              <w:spacing w:before="0" w:after="1"/>
              <w:ind w:left="0" w:right="0" w:hanging="0"/>
              <w:jc w:val="left"/>
              <w:rPr/>
            </w:pPr>
            <w:r>
              <w:rPr/>
              <w:t>  ​ ​ ​</w:t>
            </w:r>
          </w:p>
        </w:tc>
        <w:tc>
          <w:tcPr>
            <w:tcW w:w="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left"/>
              <w:rPr/>
            </w:pPr>
            <w:r>
              <w:rPr/>
              <w:t>  ​ ​ ​</w:t>
            </w:r>
          </w:p>
        </w:tc>
      </w:tr>
      <w:tr>
        <w:trPr/>
        <w:tc>
          <w:tcPr>
            <w:tcW w:w="9292"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89"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91" w:type="dxa"/>
            <w:tcBorders/>
            <w:vAlign w:val="center"/>
          </w:tcPr>
          <w:p>
            <w:pPr>
              <w:pStyle w:val="TableContents"/>
              <w:bidi w:val="0"/>
              <w:spacing w:before="0" w:after="1"/>
              <w:ind w:left="0" w:right="0" w:hanging="0"/>
              <w:jc w:val="left"/>
              <w:rPr/>
            </w:pPr>
            <w:r>
              <w:rPr/>
              <w:t>​</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federal statutory tax rate</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tax effects:</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pPr>
            <w:r>
              <w:rPr/>
              <w:t>​</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504" w:type="dxa"/>
            <w:tcBorders/>
            <w:shd w:fill="CCEEFF" w:val="clear"/>
            <w:vAlign w:val="center"/>
          </w:tcPr>
          <w:p>
            <w:pPr>
              <w:pStyle w:val="TableContents"/>
              <w:bidi w:val="0"/>
              <w:spacing w:before="0" w:after="1"/>
              <w:ind w:left="0" w:right="0" w:hanging="0"/>
              <w:jc w:val="righ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5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Nondeductible items</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91" w:type="dxa"/>
            <w:tcBorders/>
            <w:vAlign w:val="center"/>
          </w:tcPr>
          <w:p>
            <w:pPr>
              <w:pStyle w:val="TableContents"/>
              <w:bidi w:val="0"/>
              <w:spacing w:before="0" w:after="1"/>
              <w:ind w:left="0" w:right="0" w:hanging="0"/>
              <w:jc w:val="left"/>
              <w:rPr/>
            </w:pPr>
            <w:r>
              <w:rPr/>
              <w:t>​</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Belgium:</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pPr>
            <w:r>
              <w:rPr/>
              <w:t>​</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valuation allowances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91" w:type="dxa"/>
            <w:tcBorders/>
            <w:vAlign w:val="center"/>
          </w:tcPr>
          <w:p>
            <w:pPr>
              <w:pStyle w:val="TableContents"/>
              <w:bidi w:val="0"/>
              <w:spacing w:before="0" w:after="1"/>
              <w:ind w:left="0" w:right="0" w:hanging="0"/>
              <w:jc w:val="left"/>
              <w:rPr/>
            </w:pPr>
            <w:r>
              <w:rPr/>
              <w:t>​</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Subnational income taxes</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91" w:type="dxa"/>
            <w:tcBorders/>
            <w:vAlign w:val="center"/>
          </w:tcPr>
          <w:p>
            <w:pPr>
              <w:pStyle w:val="TableContents"/>
              <w:bidi w:val="0"/>
              <w:spacing w:before="0" w:after="1"/>
              <w:ind w:left="0" w:right="0" w:hanging="0"/>
              <w:jc w:val="left"/>
              <w:rPr/>
            </w:pPr>
            <w:r>
              <w:rPr/>
              <w:t>​</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foreign jurisdictions</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391" w:type="dxa"/>
            <w:tcBorders/>
            <w:vAlign w:val="center"/>
          </w:tcPr>
          <w:p>
            <w:pPr>
              <w:pStyle w:val="TableContents"/>
              <w:bidi w:val="0"/>
              <w:spacing w:before="0" w:after="1"/>
              <w:ind w:left="0" w:right="0" w:hanging="0"/>
              <w:jc w:val="left"/>
              <w:rPr/>
            </w:pPr>
            <w:r>
              <w:rPr/>
              <w:t>​</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cross-border tax laws: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controlled-foreign-corporation tested income</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c>
          <w:tcPr>
            <w:tcW w:w="391" w:type="dxa"/>
            <w:tcBorders/>
            <w:vAlign w:val="center"/>
          </w:tcPr>
          <w:p>
            <w:pPr>
              <w:pStyle w:val="TableContents"/>
              <w:bidi w:val="0"/>
              <w:spacing w:before="0" w:after="1"/>
              <w:ind w:left="0" w:right="0" w:hanging="0"/>
              <w:jc w:val="left"/>
              <w:rPr/>
            </w:pPr>
            <w:r>
              <w:rPr/>
              <w:t>​</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Incremental tax benefit on losses of subsidiary</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91" w:type="dxa"/>
            <w:tcBorders/>
            <w:vAlign w:val="center"/>
          </w:tcPr>
          <w:p>
            <w:pPr>
              <w:pStyle w:val="TableContents"/>
              <w:bidi w:val="0"/>
              <w:spacing w:before="0" w:after="1"/>
              <w:ind w:left="0" w:right="0" w:hanging="0"/>
              <w:jc w:val="left"/>
              <w:rPr/>
            </w:pPr>
            <w:r>
              <w:rPr/>
              <w:t>​</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valuation allowances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unrecognized tax benefits, net</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w:t>
            </w:r>
          </w:p>
        </w:tc>
        <w:tc>
          <w:tcPr>
            <w:tcW w:w="391" w:type="dxa"/>
            <w:tcBorders/>
            <w:vAlign w:val="center"/>
          </w:tcPr>
          <w:p>
            <w:pPr>
              <w:pStyle w:val="TableContents"/>
              <w:bidi w:val="0"/>
              <w:spacing w:before="0" w:after="1"/>
              <w:ind w:left="0" w:right="0" w:hanging="0"/>
              <w:jc w:val="left"/>
              <w:rPr/>
            </w:pPr>
            <w:r>
              <w:rPr/>
              <w:t>​</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 expense </w:t>
            </w:r>
          </w:p>
        </w:tc>
        <w:tc>
          <w:tcPr>
            <w:tcW w:w="34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63"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10.5</w:t>
            </w:r>
          </w:p>
        </w:tc>
        <w:tc>
          <w:tcPr>
            <w:tcW w:w="391" w:type="dxa"/>
            <w:tcBorders/>
            <w:vAlign w:val="center"/>
          </w:tcPr>
          <w:p>
            <w:pPr>
              <w:pStyle w:val="TableContents"/>
              <w:bidi w:val="0"/>
              <w:spacing w:before="0" w:after="1"/>
              <w:ind w:left="0" w:right="0" w:hanging="0"/>
              <w:jc w:val="left"/>
              <w:rPr/>
            </w:pPr>
            <w:r>
              <w:rPr/>
              <w:t>​</w:t>
            </w:r>
          </w:p>
        </w:tc>
      </w:tr>
      <w:tr>
        <w:trPr/>
        <w:tc>
          <w:tcPr>
            <w:tcW w:w="46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provision for income taxes allocable to:</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pPr>
            <w:r>
              <w:rPr/>
              <w:t>  ​</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 pension plans</w:t>
            </w:r>
          </w:p>
        </w:tc>
        <w:tc>
          <w:tcPr>
            <w:tcW w:w="34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3"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391" w:type="dxa"/>
            <w:tcBorders/>
            <w:vAlign w:val="center"/>
          </w:tcPr>
          <w:p>
            <w:pPr>
              <w:pStyle w:val="TableContents"/>
              <w:bidi w:val="0"/>
              <w:spacing w:before="0" w:after="1"/>
              <w:ind w:left="0" w:right="0" w:hanging="0"/>
              <w:jc w:val="left"/>
              <w:rPr/>
            </w:pPr>
            <w:r>
              <w:rPr/>
              <w:t>​</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amount shown in the preceding table of our income tax rate reconciliation for incremental tax benefit on losses of subsidiary represents current and deferred U.S. income tax benefits attributable to one of our non-U.S. subsidiaries which is treated as a dual resident for U.S. income tax purposes.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4, 2025, the One Big Beautiful Bill Act was signed into law in the United States. It did not have a material impact on our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Tax authorities are examining certain of our U.S. and non-U.S. tax returns and may propose tax deficiencies, including penalties and interest. In March 2026, we received notices of assessment from the German tax authorities for tax years 2019 through 2021. We disagree with the assessments and have filed notice of appeal. However, due to the uncertainty of the appeal and the complexity of the appeal process, during the first quarter of 2026 we recorded net income tax expense of $2.0 million to establish an uncertain tax position, net of amounts expected to be received from other taxing jurisdictions.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believe we have adequate accruals for additional taxes and related interest expense which could ultimately result from tax examinations. We believe the ultimate disposition of tax examinations should not have a material adverse effect on our consolidated financial position, results of operations or liquidity. </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989" w:name="Tc_LCgX9ijON0K0WOFM_t0eHg_22_11"/>
      <w:bookmarkStart w:id="990" w:name="Tc_sfBSgfFHlEqfYZKGghpNxA_22_8"/>
      <w:bookmarkStart w:id="991" w:name="Tc_TTwnnS_GU0SrFxYFzlaH-w_22_5"/>
      <w:bookmarkStart w:id="992" w:name="Tc_losgrxhxVU-gJujeX5SzCw_22_2"/>
      <w:bookmarkStart w:id="993" w:name="Tc_Vke4cbqn30KmiqaKM6TG1A_22_0"/>
      <w:bookmarkStart w:id="994" w:name="Tc_Jyaq490-uEGAXn2WAppxhw_21_0"/>
      <w:bookmarkStart w:id="995" w:name="Tc_uDQNGi8yt0qLEtIIMj68_Q_20_11"/>
      <w:bookmarkStart w:id="996" w:name="Tc_JG5Kvha8oUePfSQQTndqmw_20_8"/>
      <w:bookmarkStart w:id="997" w:name="Tc_BRgLihD0gkCU0_iNcgkp9A_20_5"/>
      <w:bookmarkStart w:id="998" w:name="Tc_nx4RxIOSyEeBTKlV0Xud2Q_20_2"/>
      <w:bookmarkStart w:id="999" w:name="Tc_qwvYV5sNdk2dmMKAWHjF1g_20_0"/>
      <w:bookmarkStart w:id="1000" w:name="Tc_n-LfNGmLC0SRmNvGRn1T3Q_19_0"/>
      <w:bookmarkStart w:id="1001" w:name="Tc_Woacsl5aoE-ka3hBz4ArZA_17_11"/>
      <w:bookmarkStart w:id="1002" w:name="Tc_btyX7xhiwkeR8LJR7IVAeg_17_8"/>
      <w:bookmarkStart w:id="1003" w:name="Tc_f6Xc5mbn00q1JTgE67KZtA_17_5"/>
      <w:bookmarkStart w:id="1004" w:name="Tc_cyZvfXF4TES1j35y9DHIDw_17_2"/>
      <w:bookmarkStart w:id="1005" w:name="Tc_wOFpqRd86kq4HysYOKIaEg_17_0"/>
      <w:bookmarkStart w:id="1006" w:name="Tc_dHQ7aWLlo0mqgEJIay6H9Q_16_0"/>
      <w:bookmarkStart w:id="1007" w:name="Tc_hy1mzezdVkap5drFjSfzqQ_14_11"/>
      <w:bookmarkStart w:id="1008" w:name="Tc_JRQoznF05EKLsuIGaQTaZg_14_8"/>
      <w:bookmarkStart w:id="1009" w:name="Tc_S-SaJk9XDUqgQCCuEm095g_14_5"/>
      <w:bookmarkStart w:id="1010" w:name="Tc_kx6mUca1OESE3DqI4HjqVA_14_2"/>
      <w:bookmarkStart w:id="1011" w:name="Tc_cEdE70nwfUCglshkC7Ga3g_14_0"/>
      <w:bookmarkStart w:id="1012" w:name="Tc_kas6I5CyJU6QBLJSn14GCQ_13_0"/>
      <w:bookmarkStart w:id="1013" w:name="Tc_vrx_WTxyp0OtrdP69ouMEA_12_11"/>
      <w:bookmarkStart w:id="1014" w:name="Tc_HQG6pDJ5wk2YLsn8VaShLw_12_8"/>
      <w:bookmarkStart w:id="1015" w:name="Tc_kshvv6cL60W15tQJ6Gv__w_12_5"/>
      <w:bookmarkStart w:id="1016" w:name="Tc_IBefg-j-eUKr1Uix-kntrA_12_2"/>
      <w:bookmarkStart w:id="1017" w:name="Tc_fLHXga3bpE-nFyCFDE_WmQ_12_0"/>
      <w:bookmarkStart w:id="1018" w:name="Tc_SaDzPW8xl0CKB-6pJpAoBQ_11_0"/>
      <w:bookmarkStart w:id="1019" w:name="Tc_Fc6Bw9KjBUm0av0UNYECWw_9_11"/>
      <w:bookmarkStart w:id="1020" w:name="Tc_1Ami3oryXU-C0h_awOt8bg_9_8"/>
      <w:bookmarkStart w:id="1021" w:name="Tc_3GWJSYiyBEO0vvvsNFt0sw_9_5"/>
      <w:bookmarkStart w:id="1022" w:name="Tc_P9hbUjh3ck6DxnPxZkidsA_9_2"/>
      <w:bookmarkStart w:id="1023" w:name="Tc_pr8vsf7YYEKkBZUgZ_gOHA_9_0"/>
      <w:bookmarkStart w:id="1024" w:name="Tc_sZTYuaFgNk-Zu6wBPbr63A_8_12"/>
      <w:bookmarkStart w:id="1025" w:name="Tc_LbheOA8XrU2aljtXCYnC7Q_8_0"/>
      <w:bookmarkStart w:id="1026" w:name="Tc_UBmzdarzo02iuM5r8WhxUA_7_11"/>
      <w:bookmarkStart w:id="1027" w:name="Tc_uCdwJOHwbU-4YnXZhkmliw_7_8"/>
      <w:bookmarkStart w:id="1028" w:name="Tc_y8bkWDS6-ke7AanCwKwWLQ_7_5"/>
      <w:bookmarkStart w:id="1029" w:name="Tc_DxnlQ79p20uIvRsRlPKqrg_7_2"/>
      <w:bookmarkStart w:id="1030" w:name="Tc_a-Z82acgLUyjcl_AvC-mcg_7_0"/>
      <w:bookmarkStart w:id="1031" w:name="Tc_MKJtKQtszk6rKN7aZfqStw_6_0"/>
      <w:bookmarkStart w:id="1032" w:name="Tc_fQrII6TJs0O02v1dRziyaA_5_0"/>
      <w:bookmarkStart w:id="1033" w:name="Tc_lPgnz4SDxkuC5w1Ocf4oGA_4_2"/>
      <w:bookmarkStart w:id="1034" w:name="Tc_itPFHpH8UEiCj-ST77uPyA_3_11"/>
      <w:bookmarkStart w:id="1035" w:name="Tc_ougbL0TT-UiW31ZH0C4Haw_3_8"/>
      <w:bookmarkStart w:id="1036" w:name="Tc_S0I0f1jbZUKfdey9eUs5mg_3_5"/>
      <w:bookmarkStart w:id="1037" w:name="Tc_ihCYp5gFcky3mtANOKoS8w_3_2"/>
      <w:bookmarkStart w:id="1038" w:name="Tc_OUElNTn1AESsJq72stfQeQ_2_8"/>
      <w:bookmarkStart w:id="1039" w:name="Tc_NhMLkWDr-UK7ercgzX4mHw_2_2"/>
      <w:bookmarkStart w:id="1040" w:name="Tc_nxHFTTSR70ytA0mGCp35MA_1_8"/>
      <w:bookmarkStart w:id="1041" w:name="Tc_vapSi05ynkeu0EE64qsSSA_1_2"/>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r>
        <w:rPr>
          <w:rFonts w:ascii="Times New Roman;Times;serif" w:hAnsi="Times New Roman;Times;serif"/>
          <w:b/>
          <w:sz w:val="20"/>
        </w:rPr>
        <w:t>Note 12 - Stockholders’ equity:</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Changes in accumulated other comprehensive loss are presented in the table below. See Note 10 for discussion of our defined benefit pension plans.</w:t>
      </w:r>
    </w:p>
    <w:p>
      <w:pPr>
        <w:pStyle w:val="TextBody"/>
        <w:bidi w:val="0"/>
        <w:spacing w:before="0" w:after="0"/>
        <w:ind w:left="0" w:right="0" w:hanging="0"/>
        <w:jc w:val="left"/>
        <w:rPr/>
      </w:pPr>
      <w:r>
        <w:rPr/>
        <w:t>​</w:t>
      </w:r>
    </w:p>
    <w:tbl>
      <w:tblPr>
        <w:tblW w:w="9253" w:type="dxa"/>
        <w:jc w:val="left"/>
        <w:tblInd w:w="0" w:type="dxa"/>
        <w:tblLayout w:type="fixed"/>
        <w:tblCellMar>
          <w:top w:w="0" w:type="dxa"/>
          <w:left w:w="0" w:type="dxa"/>
          <w:bottom w:w="0" w:type="dxa"/>
          <w:right w:w="0" w:type="dxa"/>
        </w:tblCellMar>
      </w:tblPr>
      <w:tblGrid>
        <w:gridCol w:w="4216"/>
        <w:gridCol w:w="346"/>
        <w:gridCol w:w="211"/>
        <w:gridCol w:w="691"/>
        <w:gridCol w:w="346"/>
        <w:gridCol w:w="211"/>
        <w:gridCol w:w="691"/>
        <w:gridCol w:w="346"/>
        <w:gridCol w:w="211"/>
        <w:gridCol w:w="691"/>
        <w:gridCol w:w="346"/>
        <w:gridCol w:w="211"/>
        <w:gridCol w:w="73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677160" cy="175260"/>
                      <wp:effectExtent l="0" t="0" r="0" b="0"/>
                      <wp:wrapNone/>
                      <wp:docPr id="197" name="Frame197"/>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38785" cy="175260"/>
                      <wp:effectExtent l="0" t="0" r="0" b="0"/>
                      <wp:wrapNone/>
                      <wp:docPr id="200"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38785" cy="175260"/>
                      <wp:effectExtent l="0" t="0" r="0" b="0"/>
                      <wp:wrapNone/>
                      <wp:docPr id="203" name="Frame2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38785" cy="175260"/>
                      <wp:effectExtent l="0" t="0" r="0" b="0"/>
                      <wp:wrapNone/>
                      <wp:docPr id="206" name="Frame2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67360" cy="175260"/>
                      <wp:effectExtent l="0" t="0" r="0" b="0"/>
                      <wp:wrapNone/>
                      <wp:docPr id="209" name="Frame20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19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21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925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91"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  ​</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(267.3)</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(267.3)</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(29.0)</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 amortization </w:t>
              <w:br/>
              <w:t xml:space="preserve">   of prior service cost and net losses included in </w:t>
              <w:br/>
              <w:t>   net periodic pension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(28.4)</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OPEB plans: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and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accumulated 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(295.6)</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(295.0)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13 - Commitments and contingencies: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involved in various environmental, contractual, product liability, patent (or intellectual property), employment and other claims and disputes incidental to our business. At least quarterly our management discusses and evaluates the status of any pending litigation to which we are a party. The factors considered in such evaluation include, among other things, the nature of such pending cases, the status of such pending cases, the advice of legal counsel and our experience in similar cases (if any). Based on such evaluation, we make a determination as to whether we believe (i) it is probable a loss has been incurred, and if so, if the amount of such loss (or a range of loss) is reasonably estimable, or (ii) it is reasonably possible, but not probable, a loss has been incurred, and if so, if the amount of such loss (or a range of loss) is reasonably estimable, or (iii) the probability a loss has been incurred is remote. We have not accrued any amounts for litigation matters because it is not reasonably possible we have incurred a loss that would be material to our consolidated financial statements, results of operations or liquidity.</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042" w:name="Tc_f49266YeBEqS-nOh03xJug_8_5"/>
      <w:bookmarkStart w:id="1043" w:name="Tc_9Tp9eFOnw0KC-UqkjVBntQ_8_2"/>
      <w:bookmarkStart w:id="1044" w:name="Tc_KJv6b94BQk6Fi3-9FY29xQ_8_0"/>
      <w:bookmarkStart w:id="1045" w:name="Tc_TkR8mwTZF0ao5NmcrnzUTQ_7_0"/>
      <w:bookmarkStart w:id="1046" w:name="Tc_P3IDhdXd1kKLQmm8jw1ISA_6_0"/>
      <w:bookmarkStart w:id="1047" w:name="Tc_vCkp08j2PEeOHdN8l57XFg_5_10"/>
      <w:bookmarkStart w:id="1048" w:name="Tc_iq8-re0FGkST0Oo6V_2H5w_5_7"/>
      <w:bookmarkStart w:id="1049" w:name="Tc_VnP-ScpXikiKEp68EnaxsA_5_4"/>
      <w:bookmarkStart w:id="1050" w:name="Tc_qYAmLa1Um02Xf8MCqL3adA_5_1"/>
      <w:bookmarkStart w:id="1051" w:name="Tc_1mj00J650UmjIMvJzfEWYg_5_0"/>
      <w:bookmarkStart w:id="1052" w:name="Tc_8zKoj5En_U2xphGG4cRMMg_4_1"/>
      <w:bookmarkStart w:id="1053" w:name="Tc__uUWoVMTOU6LRTYQ5HzQ1A_3_10"/>
      <w:bookmarkStart w:id="1054" w:name="Tc_z5m3RDusckGf6K8XeoyeLg_3_7"/>
      <w:bookmarkStart w:id="1055" w:name="Tc_5gYB58EFBkGjlY03XJx9_g_3_4"/>
      <w:bookmarkStart w:id="1056" w:name="Tc_pxIKhyy4xUywELI4YBt1Dw_3_1"/>
      <w:bookmarkStart w:id="1057" w:name="Tc_FNhkWKSuBUuSX7CpCnHyUg_2_10"/>
      <w:bookmarkStart w:id="1058" w:name="Tc_XK5fPKDDcka8lRW1p_EaYg_2_7"/>
      <w:bookmarkStart w:id="1059" w:name="Tc_QUrFy6zlQ0qactXAz3QBrQ_2_4"/>
      <w:bookmarkStart w:id="1060" w:name="Tc_qT12FqiCL0Sy0dc5kOPBuQ_2_1"/>
      <w:bookmarkStart w:id="1061" w:name="Tc_xh0dfLw6R0S3j48vy7ETsg_1_7"/>
      <w:bookmarkStart w:id="1062" w:name="Tc_Cu_B1ikXK0Gv8Is8MT5HeQ_1_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r>
        <w:rPr>
          <w:rFonts w:ascii="Times New Roman;Times;serif" w:hAnsi="Times New Roman;Times;serif"/>
          <w:b/>
          <w:sz w:val="20"/>
        </w:rPr>
        <w:t>Note 14 - Financial instruments: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Note 5 for information on how we determine fair value of our marketable securities.</w:t>
      </w:r>
    </w:p>
    <w:p>
      <w:pPr>
        <w:pStyle w:val="TextBody"/>
        <w:bidi w:val="0"/>
        <w:spacing w:before="0" w:after="0"/>
        <w:ind w:left="0" w:right="0" w:hanging="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following table presents the financial instruments that are not carried at fair value but which require fair value disclosure:</w:t>
      </w:r>
    </w:p>
    <w:p>
      <w:pPr>
        <w:pStyle w:val="TextBody"/>
        <w:bidi w:val="0"/>
        <w:spacing w:before="0" w:after="0"/>
        <w:ind w:left="0" w:right="0" w:hanging="0"/>
        <w:jc w:val="left"/>
        <w:rPr/>
      </w:pPr>
      <w:r>
        <w:rPr/>
        <w:t>​</w:t>
      </w:r>
    </w:p>
    <w:tbl>
      <w:tblPr>
        <w:tblW w:w="8085" w:type="dxa"/>
        <w:jc w:val="left"/>
        <w:tblInd w:w="0" w:type="dxa"/>
        <w:tblLayout w:type="fixed"/>
        <w:tblCellMar>
          <w:top w:w="0" w:type="dxa"/>
          <w:left w:w="0" w:type="dxa"/>
          <w:bottom w:w="0" w:type="dxa"/>
          <w:right w:w="0" w:type="dxa"/>
        </w:tblCellMar>
      </w:tblPr>
      <w:tblGrid>
        <w:gridCol w:w="4081"/>
        <w:gridCol w:w="242"/>
        <w:gridCol w:w="659"/>
        <w:gridCol w:w="112"/>
        <w:gridCol w:w="217"/>
        <w:gridCol w:w="591"/>
        <w:gridCol w:w="346"/>
        <w:gridCol w:w="243"/>
        <w:gridCol w:w="658"/>
        <w:gridCol w:w="109"/>
        <w:gridCol w:w="211"/>
        <w:gridCol w:w="616"/>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591435" cy="175260"/>
                      <wp:effectExtent l="0" t="0" r="0" b="0"/>
                      <wp:wrapNone/>
                      <wp:docPr id="210" name="Frame210"/>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53670" cy="175260"/>
                      <wp:effectExtent l="0" t="0" r="0" b="0"/>
                      <wp:wrapNone/>
                      <wp:docPr id="211" name="Frame21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18465" cy="175260"/>
                      <wp:effectExtent l="0" t="0" r="0" b="0"/>
                      <wp:wrapNone/>
                      <wp:docPr id="212" name="Frame212"/>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1120" cy="175260"/>
                      <wp:effectExtent l="0" t="0" r="0" b="0"/>
                      <wp:wrapNone/>
                      <wp:docPr id="213" name="Frame213"/>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7795" cy="175260"/>
                      <wp:effectExtent l="0" t="0" r="0" b="0"/>
                      <wp:wrapNone/>
                      <wp:docPr id="214" name="Frame214"/>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75285" cy="175260"/>
                      <wp:effectExtent l="0" t="0" r="0" b="0"/>
                      <wp:wrapNone/>
                      <wp:docPr id="215" name="Frame215"/>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54305" cy="175260"/>
                      <wp:effectExtent l="0" t="0" r="0" b="0"/>
                      <wp:wrapNone/>
                      <wp:docPr id="217" name="Frame217"/>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17830" cy="175260"/>
                      <wp:effectExtent l="0" t="0" r="0" b="0"/>
                      <wp:wrapNone/>
                      <wp:docPr id="218" name="Frame218"/>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91160" cy="175260"/>
                      <wp:effectExtent l="0" t="0" r="0" b="0"/>
                      <wp:wrapNone/>
                      <wp:docPr id="221" name="Frame22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81" w:type="dxa"/>
            <w:tcBorders/>
            <w:vAlign w:val="center"/>
          </w:tcPr>
          <w:p>
            <w:pPr>
              <w:pStyle w:val="TableContents"/>
              <w:bidi w:val="0"/>
              <w:spacing w:before="0" w:after="0"/>
              <w:ind w:left="0" w:right="0" w:hanging="0"/>
              <w:jc w:val="left"/>
              <w:rPr/>
            </w:pPr>
            <w:r>
              <w:rPr/>
              <w:t>​</w:t>
            </w:r>
          </w:p>
        </w:tc>
        <w:tc>
          <w:tcPr>
            <w:tcW w:w="18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left"/>
              <w:rPr/>
            </w:pPr>
            <w:r>
              <w:rPr/>
              <w:t>  ​ ​ ​</w:t>
            </w:r>
          </w:p>
        </w:tc>
        <w:tc>
          <w:tcPr>
            <w:tcW w:w="18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r>
      <w:tr>
        <w:trPr/>
        <w:tc>
          <w:tcPr>
            <w:tcW w:w="4081"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112" w:type="dxa"/>
            <w:tcBorders/>
            <w:vAlign w:val="center"/>
          </w:tcPr>
          <w:p>
            <w:pPr>
              <w:pStyle w:val="TableContents"/>
              <w:bidi w:val="0"/>
              <w:spacing w:before="0" w:after="0"/>
              <w:ind w:left="0" w:right="0" w:hanging="0"/>
              <w:jc w:val="left"/>
              <w:rPr/>
            </w:pPr>
            <w:r>
              <w:rPr/>
              <w:t>​</w:t>
            </w:r>
          </w:p>
        </w:tc>
        <w:tc>
          <w:tcPr>
            <w:tcW w:w="80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4081"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112" w:type="dxa"/>
            <w:tcBorders/>
            <w:vAlign w:val="center"/>
          </w:tcPr>
          <w:p>
            <w:pPr>
              <w:pStyle w:val="TableContents"/>
              <w:bidi w:val="0"/>
              <w:spacing w:before="0" w:after="0"/>
              <w:ind w:left="0" w:right="0" w:hanging="0"/>
              <w:jc w:val="left"/>
              <w:rPr/>
            </w:pPr>
            <w:r>
              <w:rPr/>
              <w:t>​</w:t>
            </w:r>
          </w:p>
        </w:tc>
        <w:tc>
          <w:tcPr>
            <w:tcW w:w="8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808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081" w:type="dxa"/>
            <w:tcBorders/>
            <w:vAlign w:val="center"/>
          </w:tcPr>
          <w:p>
            <w:pPr>
              <w:pStyle w:val="TableContents"/>
              <w:bidi w:val="0"/>
              <w:spacing w:before="0" w:after="0"/>
              <w:ind w:left="0" w:right="0" w:hanging="0"/>
              <w:jc w:val="left"/>
              <w:rPr/>
            </w:pPr>
            <w:r>
              <w:rPr/>
              <w:t>​</w:t>
            </w:r>
          </w:p>
        </w:tc>
        <w:tc>
          <w:tcPr>
            <w:tcW w:w="4004"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34.5</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Long-term debt: </w:t>
            </w:r>
          </w:p>
        </w:tc>
        <w:tc>
          <w:tcPr>
            <w:tcW w:w="242"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9.50% Senior Secured Notes due 2029</w:t>
            </w:r>
          </w:p>
        </w:tc>
        <w:tc>
          <w:tcPr>
            <w:tcW w:w="242"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503.7</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469.9</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478.8</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242"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28.2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At December 31, 2025 and June 30, 2026, the estimated market price of our 9.50% Senior Secured Notes due 2029 was €937 and €986 per €1,000 principal amount, respectively. The fair value of our Senior Secured Notes due 2029 was based on quoted market prices; however, these prices represented Level 2 inputs because the market in which the notes trade was not active. Due to the variable interest rate, the carrying amount </w:t>
      </w:r>
      <w:r>
        <w:rPr>
          <w:rFonts w:ascii="Times New Roman;Times;serif" w:hAnsi="Times New Roman;Times;serif"/>
          <w:sz w:val="20"/>
          <w:shd w:fill="FFFFFF" w:val="clear"/>
        </w:rPr>
        <w:t xml:space="preserve">of our revolving credit facility is deemed to approximate fair value. </w:t>
      </w:r>
      <w:r>
        <w:rPr>
          <w:rFonts w:ascii="Times New Roman;Times;serif" w:hAnsi="Times New Roman;Times;serif"/>
          <w:sz w:val="20"/>
        </w:rPr>
        <w:t>Due to their near-term maturities, the carrying amounts of accounts receivable and accounts payable are considered equivalent to fair value. See Notes 3 and 7.</w:t>
      </w:r>
    </w:p>
    <w:p>
      <w:pPr>
        <w:pStyle w:val="TextBody"/>
        <w:bidi w:val="0"/>
        <w:spacing w:before="0" w:after="120"/>
        <w:ind w:left="0" w:right="0" w:hanging="0"/>
        <w:jc w:val="both"/>
        <w:rPr>
          <w:rFonts w:ascii="Times New Roman;Times;serif" w:hAnsi="Times New Roman;Times;serif"/>
          <w:b/>
          <w:sz w:val="20"/>
        </w:rPr>
      </w:pPr>
      <w:bookmarkStart w:id="1063" w:name="Tc_6ZMQTnE_fECxlLp6SU5dpg_9_1"/>
      <w:bookmarkStart w:id="1064" w:name="Tc_MByC-1KwsEqrL-PPD3lTpQ_9_0"/>
      <w:bookmarkStart w:id="1065" w:name="Tc_t49gOxklM0qunm5jp4fOSg_8_0"/>
      <w:bookmarkStart w:id="1066" w:name="Tc_6oj7dHmdKEq5y4UtG7Q2Ww_7_0"/>
      <w:bookmarkStart w:id="1067" w:name="Tc_SZC9xBtEwUSP6xOro_m2cA_6_2"/>
      <w:bookmarkStart w:id="1068" w:name="Tc_u2BO0GAdaUeM2yCNGek6Tg_6_0"/>
      <w:bookmarkStart w:id="1069" w:name="Tc_QW8G_-jcVEO0Xe9WivVHBQ_5_1"/>
      <w:bookmarkStart w:id="1070" w:name="Tc_stTK2Q3Pr0Kc2ydgw1HDVg_5_0"/>
      <w:bookmarkStart w:id="1071" w:name="Tc_SEzyyNqwpkiVU86Ud-t89g_3_1"/>
      <w:bookmarkStart w:id="1072" w:name="Tc_roIAovb_JUyp9bNMAUcSng_2_1"/>
      <w:bookmarkEnd w:id="1063"/>
      <w:bookmarkEnd w:id="1064"/>
      <w:bookmarkEnd w:id="1065"/>
      <w:bookmarkEnd w:id="1066"/>
      <w:bookmarkEnd w:id="1067"/>
      <w:bookmarkEnd w:id="1068"/>
      <w:bookmarkEnd w:id="1069"/>
      <w:bookmarkEnd w:id="1070"/>
      <w:bookmarkEnd w:id="1071"/>
      <w:bookmarkEnd w:id="1072"/>
      <w:r>
        <w:rPr>
          <w:rFonts w:ascii="Times New Roman;Times;serif" w:hAnsi="Times New Roman;Times;serif"/>
          <w:b/>
          <w:sz w:val="20"/>
        </w:rPr>
        <w:t>Note 15 – Restructuring costs: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In the fourth quarter of 2025, we initiated a restructuring plan through workforce reductions which is supporting an improved current and longer-term cost structure. These workforce reductions impacted approximately 226 positions with a</w:t>
      </w:r>
      <w:r>
        <w:rPr>
          <w:rFonts w:ascii="Times New Roman;Times;serif" w:hAnsi="Times New Roman;Times;serif"/>
          <w:sz w:val="20"/>
        </w:rPr>
        <w:t xml:space="preserve"> substantial portion of such reductions accomplished through involuntary programs. A portion of the reductions was also accomplished through voluntary programs, for which eligible workforce reduction costs were recognized at the time both the employee and employer were irrevocably committed to the terms of the separation. During the fourth quarter of 2025, we recognized an aggregate $10.3 million charge related to these workforce reductions. </w:t>
      </w:r>
      <w:r>
        <w:rPr>
          <w:rFonts w:ascii="Times New Roman;Times;serif" w:hAnsi="Times New Roman;Times;serif"/>
          <w:sz w:val="20"/>
          <w:shd w:fill="FFFFFF" w:val="clear"/>
        </w:rPr>
        <w:t>Accrued severance costs remaining at June 30, 2026 are expected to be substantially paid in 2026 and are included in accounts payable and accrued liabilities on our Condensed Consolidated Balance Sheet, see Note 7. W</w:t>
      </w:r>
      <w:r>
        <w:rPr>
          <w:rFonts w:ascii="Times New Roman;Times;serif" w:hAnsi="Times New Roman;Times;serif"/>
          <w:sz w:val="20"/>
        </w:rPr>
        <w:t xml:space="preserve">e do not expect to accrue any further material amounts for the workforce reductions. </w:t>
      </w:r>
    </w:p>
    <w:p>
      <w:pPr>
        <w:pStyle w:val="TextBody"/>
        <w:bidi w:val="0"/>
        <w:spacing w:before="240" w:after="120"/>
        <w:ind w:left="0" w:right="0" w:firstLine="720"/>
        <w:jc w:val="both"/>
        <w:rPr>
          <w:rFonts w:ascii="Times New Roman;Times;serif" w:hAnsi="Times New Roman;Times;serif"/>
          <w:sz w:val="20"/>
        </w:rPr>
      </w:pPr>
      <w:r>
        <w:rPr>
          <w:rFonts w:ascii="Times New Roman;Times;serif" w:hAnsi="Times New Roman;Times;serif"/>
          <w:sz w:val="20"/>
        </w:rPr>
        <w:t>A summary of the activity in our accrued restructuring costs for the first six months of 2026 is shown in the table below:</w:t>
      </w:r>
    </w:p>
    <w:p>
      <w:pPr>
        <w:pStyle w:val="TextBody"/>
        <w:bidi w:val="0"/>
        <w:spacing w:before="0" w:after="0"/>
        <w:ind w:left="0" w:right="0" w:hanging="0"/>
        <w:jc w:val="left"/>
        <w:rPr/>
      </w:pPr>
      <w:r>
        <w:rPr/>
        <w:t>​</w:t>
      </w:r>
    </w:p>
    <w:tbl>
      <w:tblPr>
        <w:tblW w:w="5911" w:type="dxa"/>
        <w:jc w:val="left"/>
        <w:tblInd w:w="0" w:type="dxa"/>
        <w:tblLayout w:type="fixed"/>
        <w:tblCellMar>
          <w:top w:w="0" w:type="dxa"/>
          <w:left w:w="0" w:type="dxa"/>
          <w:bottom w:w="0" w:type="dxa"/>
          <w:right w:w="0" w:type="dxa"/>
        </w:tblCellMar>
      </w:tblPr>
      <w:tblGrid>
        <w:gridCol w:w="4741"/>
        <w:gridCol w:w="363"/>
        <w:gridCol w:w="807"/>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010535" cy="175260"/>
                      <wp:effectExtent l="0" t="0" r="0" b="0"/>
                      <wp:wrapNone/>
                      <wp:docPr id="222" name="Frame222"/>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30505" cy="175260"/>
                      <wp:effectExtent l="0" t="0" r="0" b="0"/>
                      <wp:wrapNone/>
                      <wp:docPr id="223" name="Frame223"/>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12445" cy="175260"/>
                      <wp:effectExtent l="0" t="0" r="0" b="0"/>
                      <wp:wrapNone/>
                      <wp:docPr id="224" name="Frame224"/>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pPr>
            <w:r>
              <w:rPr/>
              <w:t>​</w:t>
            </w:r>
          </w:p>
        </w:tc>
      </w:tr>
      <w:tr>
        <w:trPr/>
        <w:tc>
          <w:tcPr>
            <w:tcW w:w="4741"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4741"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741"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r>
      <w:tr>
        <w:trPr/>
        <w:tc>
          <w:tcPr>
            <w:tcW w:w="4741" w:type="dxa"/>
            <w:tcBorders/>
            <w:shd w:fill="CCEC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workforce reduction costs at December 31, 2025</w:t>
            </w:r>
          </w:p>
        </w:tc>
        <w:tc>
          <w:tcPr>
            <w:tcW w:w="363" w:type="dxa"/>
            <w:tcBorders/>
            <w:shd w:fill="CCEC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7" w:type="dxa"/>
            <w:tcBorders/>
            <w:shd w:fill="CCEC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w:t>
            </w:r>
          </w:p>
        </w:tc>
      </w:tr>
      <w:tr>
        <w:trPr/>
        <w:tc>
          <w:tcPr>
            <w:tcW w:w="474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reduction costs accrued</w:t>
            </w:r>
          </w:p>
        </w:tc>
        <w:tc>
          <w:tcPr>
            <w:tcW w:w="363" w:type="dxa"/>
            <w:tcBorders/>
            <w:shd w:fill="FFFFFF" w:val="clear"/>
            <w:vAlign w:val="center"/>
          </w:tcPr>
          <w:p>
            <w:pPr>
              <w:pStyle w:val="TableContents"/>
              <w:bidi w:val="0"/>
              <w:spacing w:before="0" w:after="0"/>
              <w:ind w:left="0" w:right="0" w:hanging="0"/>
              <w:jc w:val="left"/>
              <w:rPr/>
            </w:pPr>
            <w:r>
              <w:rPr/>
              <w:t>​</w:t>
            </w:r>
          </w:p>
        </w:tc>
        <w:tc>
          <w:tcPr>
            <w:tcW w:w="807" w:type="dxa"/>
            <w:tcBorders/>
            <w:shd w:fill="FFFF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w:t>
            </w:r>
          </w:p>
        </w:tc>
      </w:tr>
      <w:tr>
        <w:trPr/>
        <w:tc>
          <w:tcPr>
            <w:tcW w:w="4741" w:type="dxa"/>
            <w:tcBorders/>
            <w:shd w:fill="CCEC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reduction costs paid</w:t>
            </w:r>
          </w:p>
        </w:tc>
        <w:tc>
          <w:tcPr>
            <w:tcW w:w="363" w:type="dxa"/>
            <w:tcBorders/>
            <w:shd w:fill="CCECFF" w:val="clear"/>
            <w:vAlign w:val="center"/>
          </w:tcPr>
          <w:p>
            <w:pPr>
              <w:pStyle w:val="TableContents"/>
              <w:bidi w:val="0"/>
              <w:spacing w:before="0" w:after="0"/>
              <w:ind w:left="0" w:right="0" w:hanging="0"/>
              <w:jc w:val="left"/>
              <w:rPr/>
            </w:pPr>
            <w:r>
              <w:rPr/>
              <w:t>​</w:t>
            </w:r>
          </w:p>
        </w:tc>
        <w:tc>
          <w:tcPr>
            <w:tcW w:w="807" w:type="dxa"/>
            <w:tcBorders/>
            <w:shd w:fill="CCEC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w:t>
            </w:r>
          </w:p>
        </w:tc>
      </w:tr>
      <w:tr>
        <w:trPr/>
        <w:tc>
          <w:tcPr>
            <w:tcW w:w="474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 adjustments, net</w:t>
            </w:r>
          </w:p>
        </w:tc>
        <w:tc>
          <w:tcPr>
            <w:tcW w:w="3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r>
      <w:tr>
        <w:trPr/>
        <w:tc>
          <w:tcPr>
            <w:tcW w:w="4741" w:type="dxa"/>
            <w:tcBorders/>
            <w:shd w:fill="CCEC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liability at June 30, 2026</w:t>
            </w:r>
          </w:p>
        </w:tc>
        <w:tc>
          <w:tcPr>
            <w:tcW w:w="363" w:type="dxa"/>
            <w:tcBorders>
              <w:bottom w:val="double" w:sz="6" w:space="0" w:color="000000"/>
            </w:tcBorders>
            <w:shd w:fill="CCEC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7" w:type="dxa"/>
            <w:tcBorders>
              <w:bottom w:val="double" w:sz="6" w:space="0" w:color="000000"/>
            </w:tcBorders>
            <w:shd w:fill="CCEC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3.8</w:t>
            </w:r>
          </w:p>
        </w:tc>
      </w:tr>
    </w:tbl>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shd w:fill="FFFFFF" w:val="clear"/>
        </w:rPr>
        <w:t xml:space="preserve">Note 16 </w:t>
      </w:r>
      <w:r>
        <w:rPr>
          <w:rFonts w:ascii="Times New Roman;Times;serif" w:hAnsi="Times New Roman;Times;serif"/>
          <w:b/>
          <w:sz w:val="20"/>
        </w:rPr>
        <w:t>-</w:t>
      </w:r>
      <w:r>
        <w:rPr>
          <w:rFonts w:ascii="Times New Roman;Times;serif" w:hAnsi="Times New Roman;Times;serif"/>
          <w:sz w:val="20"/>
          <w:shd w:fill="FFFFFF" w:val="clear"/>
        </w:rPr>
        <w:t xml:space="preserve"> </w:t>
      </w:r>
      <w:r>
        <w:rPr>
          <w:rFonts w:ascii="Times New Roman;Times;serif" w:hAnsi="Times New Roman;Times;serif"/>
          <w:b/>
          <w:sz w:val="20"/>
          <w:shd w:fill="FFFFFF" w:val="clear"/>
        </w:rPr>
        <w:t>Recent accounting pronouncements: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Reporting Comprehensive Income - Expense Disaggregation Disclosures</w:t>
      </w:r>
      <w:r>
        <w:rPr>
          <w:rFonts w:ascii="Times New Roman;Times;serif" w:hAnsi="Times New Roman;Times;serif"/>
          <w:sz w:val="20"/>
        </w:rPr>
        <w:t>. The ASU requires additional information about specific expense categories in the notes to financial statements for both interim and annual reporting periods. The ASU is effective for us beginning with our 2027 Annual Report, and for interim reporting, in the first quarter of 2028, with early adoption permitted. We are in the process of evaluating the additional disclosure requirements.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May 2026, the FASB issued ASU No. 2026-02, </w:t>
      </w:r>
      <w:r>
        <w:rPr>
          <w:rFonts w:ascii="Times New Roman;Times;serif" w:hAnsi="Times New Roman;Times;serif"/>
          <w:i/>
          <w:sz w:val="20"/>
        </w:rPr>
        <w:t>Environmental Credits and Environmental Credit Obligations</w:t>
      </w:r>
      <w:r>
        <w:rPr>
          <w:rFonts w:ascii="Times New Roman;Times;serif" w:hAnsi="Times New Roman;Times;serif"/>
          <w:sz w:val="20"/>
        </w:rPr>
        <w:t>, which establishes guidance for the recognition, measurement, presentation, and disclosure of environmental credits and related compliance obligations. The standard is intended to improve consistency and comparability in accounting for environmental credit programs by providing a comprehensive accounting framework. The ASU is effective for us beginning in 2028, with early adoption permitted. We are in the process of evaluating the impact this standard will have on our Condensed Consolidated Financial Statements.</w:t>
      </w:r>
    </w:p>
    <w:p>
      <w:pPr>
        <w:pStyle w:val="TextBody"/>
        <w:bidi w:val="0"/>
        <w:spacing w:before="0" w:after="120"/>
        <w:ind w:left="0" w:right="0" w:hanging="0"/>
        <w:jc w:val="left"/>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922"/>
        <w:jc w:val="both"/>
        <w:rPr>
          <w:rFonts w:ascii="Times New Roman;Times;serif" w:hAnsi="Times New Roman;Times;serif"/>
          <w:b/>
          <w:sz w:val="20"/>
        </w:rPr>
      </w:pPr>
      <w:bookmarkStart w:id="1073" w:name="ITEM2MANAGEMENTSDISCUSSIONANDANALYSISOFF"/>
      <w:bookmarkStart w:id="1074" w:name="_425b389b_e66b_4f1a_99aa_f8bbd1b22139"/>
      <w:bookmarkEnd w:id="1073"/>
      <w:bookmarkEnd w:id="1074"/>
      <w:r>
        <w:rPr>
          <w:rFonts w:ascii="Times New Roman;Times;serif" w:hAnsi="Times New Roman;Times;serif"/>
          <w:b/>
          <w:sz w:val="20"/>
        </w:rPr>
        <w:t>ITEM 2. MANAGEMENT’S DISCUSSION AND ANALYSIS OF FINANCIAL CONDITION AND RESULTS OF OPERATIONS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leading global producer and marketer of value-added titanium dioxide pigments (“TiO</w:t>
      </w:r>
      <w:r>
        <w:rPr>
          <w:rFonts w:ascii="Times New Roman;Times;serif" w:hAnsi="Times New Roman;Times;serif"/>
          <w:sz w:val="15"/>
        </w:rPr>
        <w:t>2</w:t>
      </w:r>
      <w:r>
        <w:rPr>
          <w:rFonts w:ascii="Times New Roman;Times;serif" w:hAnsi="Times New Roman;Times;serif"/>
          <w:sz w:val="20"/>
        </w:rPr>
        <w:t>”). TiO</w:t>
      </w:r>
      <w:r>
        <w:rPr>
          <w:rFonts w:ascii="Times New Roman;Times;serif" w:hAnsi="Times New Roman;Times;serif"/>
          <w:sz w:val="15"/>
        </w:rPr>
        <w:t>2</w:t>
      </w:r>
      <w:r>
        <w:rPr>
          <w:rFonts w:ascii="Times New Roman;Times;serif" w:hAnsi="Times New Roman;Times;serif"/>
          <w:sz w:val="20"/>
        </w:rPr>
        <w:t xml:space="preserve"> is used for a variety of manufacturing applications, including paints, plastics, paper and other industrial and specialty products. For the six months ended June 30, 2026, approximately 45% of our sales volumes were sold into European markets. Our production facilities are located in Europe and North America.</w:t>
      </w:r>
    </w:p>
    <w:p>
      <w:pPr>
        <w:pStyle w:val="TextBody"/>
        <w:bidi w:val="0"/>
        <w:spacing w:before="0" w:after="240"/>
        <w:ind w:left="0" w:right="0" w:firstLine="720"/>
        <w:jc w:val="both"/>
        <w:rPr>
          <w:rFonts w:ascii="Times New Roman;Times;serif" w:hAnsi="Times New Roman;Times;serif"/>
          <w:sz w:val="16"/>
        </w:rPr>
      </w:pPr>
      <w:r>
        <w:rPr>
          <w:rFonts w:ascii="Times New Roman;Times;serif" w:hAnsi="Times New Roman;Times;serif"/>
          <w:sz w:val="20"/>
        </w:rPr>
        <w:t>We consider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to be a “quality of life” product, with demand affected by gross domestic product, or GDP, and overall economic conditions in our markets located in various regions of the world. Over the long-term, we expect demand for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will grow by 2% to 3% per year, consistent with our expectations for the long-term growth in GDP. However, even if we and our competitors maintain consistent shares of the worldwide market, demand for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in any interim or annual period may not change in the same proportion as the change in GDP, in part due to relative changes in the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inventory levels of our customers. We believe our customers’ inventory levels are influenced in part by their expectation for future changes in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selling prices as well as their expectation for future availability of product. Although certain of our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grades are considered specialty pigments, the majority of our grades and substantially all of our production are considered commodity pigment products with price and availability being the most significant competitive factors along with product quality and customer and technical support services.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factors having the most impact on our reported operating results are:</w:t>
      </w:r>
    </w:p>
    <w:tbl>
      <w:tblPr>
        <w:tblW w:w="2106" w:type="dxa"/>
        <w:jc w:val="left"/>
        <w:tblInd w:w="0" w:type="dxa"/>
        <w:tblLayout w:type="fixed"/>
        <w:tblCellMar>
          <w:top w:w="28" w:type="dxa"/>
          <w:left w:w="28" w:type="dxa"/>
          <w:bottom w:w="28" w:type="dxa"/>
          <w:right w:w="28" w:type="dxa"/>
        </w:tblCellMar>
      </w:tblPr>
      <w:tblGrid>
        <w:gridCol w:w="124"/>
        <w:gridCol w:w="256"/>
        <w:gridCol w:w="1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selling prices,</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sales and production volumes,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costs, particularly raw materials such as third-party feedstock, maintenance and energy-related expenses,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rates (particularly the exchange rate for the U.S. dollar relative to the euro, the Norwegian krone and the Canadian dollar and the euro relative to the Norwegian krone).</w:t>
            </w:r>
          </w:p>
        </w:tc>
      </w:tr>
    </w:tbl>
    <w:p>
      <w:pPr>
        <w:pStyle w:val="TextBody"/>
        <w:bidi w:val="0"/>
        <w:spacing w:before="0" w:after="240"/>
        <w:ind w:left="0" w:right="0" w:firstLine="720"/>
        <w:jc w:val="both"/>
        <w:rPr>
          <w:rFonts w:ascii="Times New Roman;Times;serif" w:hAnsi="Times New Roman;Times;serif"/>
          <w:sz w:val="16"/>
        </w:rPr>
      </w:pPr>
      <w:r>
        <w:rPr>
          <w:rFonts w:ascii="Times New Roman;Times;serif" w:hAnsi="Times New Roman;Times;serif"/>
          <w:sz w:val="20"/>
        </w:rPr>
        <w:t>Our key performance indicators are our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average selling prices, our level of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sales and production volumes and the cost of titanium-containing feedstock purchased from third parties.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selling prices generally follow industry trends, and selling prices will increase or decrease generally as a result of competitive market pressures.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Executive summary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reported net income of $15.2 million, or $.13 per share, in the second quarter of 2026 compared to a net loss of $9.2 million, or $.08 per share, in the second quarter of 2025. For the first six months of 2026, we reported net income of $10.4 million or $.09 per share, compared to net income of $8.9 million or $.08 per share, in the first six months of 2025. Net income increased in the second quarter and first six months of 2026 compared to the prior year periods primarily due to higher sales volumes and lower production costs resulting from cost reduction initiatives implemented in the fourth quarter of 2025, as well as lower raw material costs (primarily feedstock costs) and lower unabsorbed fixed costs. These favorable factors were partially offset by lower average TiO</w:t>
      </w:r>
      <w:r>
        <w:rPr>
          <w:rFonts w:ascii="Times New Roman;Times;serif" w:hAnsi="Times New Roman;Times;serif"/>
          <w:sz w:val="15"/>
        </w:rPr>
        <w:t>2</w:t>
      </w:r>
      <w:r>
        <w:rPr>
          <w:rFonts w:ascii="Times New Roman;Times;serif" w:hAnsi="Times New Roman;Times;serif"/>
          <w:sz w:val="20"/>
        </w:rPr>
        <w:t xml:space="preserve"> selling prices. Comparability of our results was also impacted by the effects of changes in currency exchange rates.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Our net income for the six months ended June 30, 2026 includes an income tax expense of $2.0 million ($.02 per share) to recognize an uncertain tax position related to a German tax audit.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Forward-looking information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This report contains forward-looking statements within the meaning of the Private Securities Litigation Reform Act of 1995, as amended. Statements in this Quarterly Report on Form 10-Q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factors that could cause our actual future results to differ materially from those described herein are the risks and uncertainties discussed in this Quarterly Report and those described from time to time in our other filings with the SEC and include, but are not limited to, the following:</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expected cost savings from strategic and operational initiatives;</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integrate acquisitions into our operations and realize expected synergies and innovations;</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dependence of certain of our businesses on certain market sectors;</w:t>
            </w:r>
          </w:p>
        </w:tc>
      </w:tr>
    </w:tbl>
    <w:tbl>
      <w:tblPr>
        <w:tblW w:w="3081" w:type="dxa"/>
        <w:jc w:val="left"/>
        <w:tblInd w:w="0" w:type="dxa"/>
        <w:tblLayout w:type="fixed"/>
        <w:tblCellMar>
          <w:top w:w="28" w:type="dxa"/>
          <w:left w:w="28" w:type="dxa"/>
          <w:bottom w:w="28" w:type="dxa"/>
          <w:right w:w="28" w:type="dxa"/>
        </w:tblCellMar>
      </w:tblPr>
      <w:tblGrid>
        <w:gridCol w:w="124"/>
        <w:gridCol w:w="256"/>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cyclicality of our business;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producer inventory levels;</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or earlier-than-expected industry capacity expansion;</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raw material and other operating costs (such as energy and ore costs);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availability of raw materials (such as ore);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General global economic and political conditions that harm the worldwide economy, disrupt our supply chain, increase material and energy costs or reduce demand or perceived demand for our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products or impair our ability to operate our facilities (including changes in the level of gross domestic product in various regions of the world, tariffs, natural disasters, terrorist acts, global conflicts and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interruptions (including, but not limited to, labor disputes, leaks, natural disasters, fires, explosions, unscheduled or unplanned downtime, transportation interruptions, certain regional and world events or economic conditions and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related disruptions (including, but not limited to, cyber-attacks, software implementation, upgrades or improvements, technology processing failures, or other events) related to our technology infrastructure (including manufacturing and accounting systems) that could impact our ability to continue operations, or at key vendors which could impact our supply chain, or at key customers which could impact their operations and cause them to curtail or pause orders;</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products and substitute products;</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Chinese suppliers with less stringent regulatory and environmental compliance requirements;</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our competitors;</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our customers;</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technology positions;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(such as changes in the exchange rate between the U.S. dollar and each of the euro, the Norwegian krone and the Canadian dollar and between the euro and the Norwegian krone), or possible disruptions to our business resulting from uncertainties associated with the euro or other currencies;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renew or refinance credit facilities or other debt instruments in the future;</w:t>
            </w:r>
          </w:p>
        </w:tc>
      </w:tr>
    </w:tbl>
    <w:tbl>
      <w:tblPr>
        <w:tblW w:w="2571" w:type="dxa"/>
        <w:jc w:val="left"/>
        <w:tblInd w:w="0" w:type="dxa"/>
        <w:tblLayout w:type="fixed"/>
        <w:tblCellMar>
          <w:top w:w="28" w:type="dxa"/>
          <w:left w:w="28" w:type="dxa"/>
          <w:bottom w:w="28" w:type="dxa"/>
          <w:right w:w="28" w:type="dxa"/>
        </w:tblCellMar>
      </w:tblPr>
      <w:tblGrid>
        <w:gridCol w:w="124"/>
        <w:gridCol w:w="256"/>
        <w:gridCol w:w="2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covenants contained in our revolving bank credit facility;</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sufficient liquidity;</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income tax attributes, the benefits of which may or may not have been recognized under the more-likely-than-not recognition criteria;</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compliance with emission and discharge standards for existing and new facilities);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Government laws and regulations and possible changes therein including new environmental, sustainability, health and safety, or other regulations (such as those seeking to limit or classify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or its use); and</w:t>
            </w:r>
          </w:p>
        </w:tc>
      </w:tr>
    </w:tbl>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or other actions.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the consequences of such a development worsen), or should the underlying assumptions prove incorrect, actual results could differ materially from those forecasted or expected. We disclaim any intention or obligation to update or revise any forward-looking statements whether as a result of changes in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Current industry conditions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We started 2026 with average TiO</w:t>
      </w:r>
      <w:r>
        <w:rPr>
          <w:rFonts w:ascii="Times New Roman;Times;serif" w:hAnsi="Times New Roman;Times;serif"/>
          <w:sz w:val="15"/>
        </w:rPr>
        <w:t>2</w:t>
      </w:r>
      <w:r>
        <w:rPr>
          <w:rFonts w:ascii="Times New Roman;Times;serif" w:hAnsi="Times New Roman;Times;serif"/>
          <w:sz w:val="20"/>
        </w:rPr>
        <w:t xml:space="preserve"> selling prices lower than at the beginning of 2025; however, our average TiO</w:t>
      </w:r>
      <w:r>
        <w:rPr>
          <w:rFonts w:ascii="Times New Roman;Times;serif" w:hAnsi="Times New Roman;Times;serif"/>
          <w:sz w:val="15"/>
        </w:rPr>
        <w:t>2</w:t>
      </w:r>
      <w:r>
        <w:rPr>
          <w:rFonts w:ascii="Times New Roman;Times;serif" w:hAnsi="Times New Roman;Times;serif"/>
          <w:sz w:val="20"/>
        </w:rPr>
        <w:t xml:space="preserve"> selling prices increased 4% during the first six months of 2026. During the second quarter of 2026, we announced and implemented various price increases and surcharges in response to higher operating costs. Our average TiO</w:t>
      </w:r>
      <w:r>
        <w:rPr>
          <w:rFonts w:ascii="Times New Roman;Times;serif" w:hAnsi="Times New Roman;Times;serif"/>
          <w:sz w:val="15"/>
        </w:rPr>
        <w:t>2</w:t>
      </w:r>
      <w:r>
        <w:rPr>
          <w:rFonts w:ascii="Times New Roman;Times;serif" w:hAnsi="Times New Roman;Times;serif"/>
          <w:sz w:val="20"/>
        </w:rPr>
        <w:t xml:space="preserve"> selling prices for the first six months of 2026 were 4% lower than our average TiO</w:t>
      </w:r>
      <w:r>
        <w:rPr>
          <w:rFonts w:ascii="Times New Roman;Times;serif" w:hAnsi="Times New Roman;Times;serif"/>
          <w:sz w:val="15"/>
        </w:rPr>
        <w:t>2</w:t>
      </w:r>
      <w:r>
        <w:rPr>
          <w:rFonts w:ascii="Times New Roman;Times;serif" w:hAnsi="Times New Roman;Times;serif"/>
          <w:sz w:val="20"/>
        </w:rPr>
        <w:t xml:space="preserve"> selling prices for the first six months of 2025. Overall, our sales volumes increased in the first six months of 2026 compared to the same period in 2025 primarily due to market share gains across all markets resulting from changing competitive and supply conditions and the continued effect of anti-dumping duties which remain in effect in certain markets.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During the fourth quarter of 2025, we implemented cost reduction initiatives, including workforce reductions and other measures, to permanently improve our cost structure and enable more efficient operation of our facilities at lower production rates for extended periods. As a result, we adjusted our normal production capacity range in 2026 to reflect our production capabilities under this new cost structure.</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Excluding the effect of changes in currency exchange rates, our cost of sales per metric ton of TiO</w:t>
      </w:r>
      <w:r>
        <w:rPr>
          <w:rFonts w:ascii="Times New Roman;Times;serif" w:hAnsi="Times New Roman;Times;serif"/>
          <w:sz w:val="15"/>
        </w:rPr>
        <w:t>2</w:t>
      </w:r>
      <w:r>
        <w:rPr>
          <w:rFonts w:ascii="Times New Roman;Times;serif" w:hAnsi="Times New Roman;Times;serif"/>
          <w:sz w:val="20"/>
        </w:rPr>
        <w:t xml:space="preserve"> sold in the first half of 2026 was lower than the comparable period of 2025 due to decreases in per metric ton production costs driven primarily by the cost reduction initiatives discussed above, as well as lower raw material costs (primarily feedstock costs) and lower unabsorbed fixed costs.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left"/>
        <w:rPr>
          <w:rFonts w:ascii="Times New Roman;Times;serif" w:hAnsi="Times New Roman;Times;serif"/>
          <w:b/>
          <w:i/>
          <w:sz w:val="20"/>
        </w:rPr>
      </w:pPr>
      <w:r>
        <w:rPr>
          <w:rFonts w:ascii="Times New Roman;Times;serif" w:hAnsi="Times New Roman;Times;serif"/>
          <w:b/>
          <w:i/>
          <w:sz w:val="20"/>
        </w:rPr>
        <w:t>Quarter ended June 30, 2026 compared to the quarter ended June 30, 2025</w:t>
      </w:r>
    </w:p>
    <w:tbl>
      <w:tblPr>
        <w:tblW w:w="8877" w:type="dxa"/>
        <w:jc w:val="left"/>
        <w:tblInd w:w="0" w:type="dxa"/>
        <w:tblLayout w:type="fixed"/>
        <w:tblCellMar>
          <w:top w:w="0" w:type="dxa"/>
          <w:left w:w="0" w:type="dxa"/>
          <w:bottom w:w="0" w:type="dxa"/>
          <w:right w:w="0" w:type="dxa"/>
        </w:tblCellMar>
      </w:tblPr>
      <w:tblGrid>
        <w:gridCol w:w="4066"/>
        <w:gridCol w:w="346"/>
        <w:gridCol w:w="211"/>
        <w:gridCol w:w="571"/>
        <w:gridCol w:w="346"/>
        <w:gridCol w:w="421"/>
        <w:gridCol w:w="361"/>
        <w:gridCol w:w="211"/>
        <w:gridCol w:w="571"/>
        <w:gridCol w:w="346"/>
        <w:gridCol w:w="991"/>
        <w:gridCol w:w="436"/>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581910" cy="175260"/>
                      <wp:effectExtent l="0" t="0" r="0" b="0"/>
                      <wp:wrapNone/>
                      <wp:docPr id="225" name="Frame225"/>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62585" cy="175260"/>
                      <wp:effectExtent l="0" t="0" r="0" b="0"/>
                      <wp:wrapNone/>
                      <wp:docPr id="228" name="Frame2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67335" cy="175260"/>
                      <wp:effectExtent l="0" t="0" r="0" b="0"/>
                      <wp:wrapNone/>
                      <wp:docPr id="230" name="Frame23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29235" cy="175260"/>
                      <wp:effectExtent l="0" t="0" r="0" b="0"/>
                      <wp:wrapNone/>
                      <wp:docPr id="231" name="Frame23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62585" cy="175260"/>
                      <wp:effectExtent l="0" t="0" r="0" b="0"/>
                      <wp:wrapNone/>
                      <wp:docPr id="233" name="Frame2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29285" cy="175260"/>
                      <wp:effectExtent l="0" t="0" r="0" b="0"/>
                      <wp:wrapNone/>
                      <wp:docPr id="235" name="Frame23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76860" cy="175260"/>
                      <wp:effectExtent l="0" t="0" r="0" b="0"/>
                      <wp:wrapNone/>
                      <wp:docPr id="236" name="Frame23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1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left"/>
              <w:rPr/>
            </w:pPr>
            <w:r>
              <w:rPr/>
              <w:t>​</w:t>
            </w:r>
          </w:p>
        </w:tc>
        <w:tc>
          <w:tcPr>
            <w:tcW w:w="211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r>
      <w:tr>
        <w:trPr/>
        <w:tc>
          <w:tcPr>
            <w:tcW w:w="887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3818"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millions)</w:t>
            </w:r>
          </w:p>
        </w:tc>
        <w:tc>
          <w:tcPr>
            <w:tcW w:w="436" w:type="dxa"/>
            <w:tcBorders/>
            <w:vAlign w:val="center"/>
          </w:tcPr>
          <w:p>
            <w:pPr>
              <w:pStyle w:val="TableContents"/>
              <w:bidi w:val="0"/>
              <w:spacing w:before="0" w:after="1"/>
              <w:ind w:left="0" w:right="0" w:hanging="0"/>
              <w:jc w:val="left"/>
              <w:rPr/>
            </w:pPr>
            <w:r>
              <w:rPr/>
              <w:t> </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494.4</w:t>
            </w:r>
          </w:p>
        </w:tc>
        <w:tc>
          <w:tcPr>
            <w:tcW w:w="346" w:type="dxa"/>
            <w:tcBorders/>
            <w:shd w:fill="CCEEFF" w:val="clear"/>
            <w:vAlign w:val="center"/>
          </w:tcPr>
          <w:p>
            <w:pPr>
              <w:pStyle w:val="TableContents"/>
              <w:bidi w:val="0"/>
              <w:spacing w:before="0" w:after="1"/>
              <w:ind w:left="0" w:right="0" w:hanging="0"/>
              <w:jc w:val="left"/>
              <w:rPr/>
            </w:pPr>
            <w:r>
              <w:rPr/>
              <w:t>  ​ ​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558.1</w:t>
            </w:r>
          </w:p>
        </w:tc>
        <w:tc>
          <w:tcPr>
            <w:tcW w:w="346" w:type="dxa"/>
            <w:tcBorders/>
            <w:shd w:fill="CCEEFF" w:val="clear"/>
            <w:vAlign w:val="center"/>
          </w:tcPr>
          <w:p>
            <w:pPr>
              <w:pStyle w:val="TableContents"/>
              <w:bidi w:val="0"/>
              <w:spacing w:before="0" w:after="1"/>
              <w:ind w:left="0" w:right="0" w:hanging="0"/>
              <w:jc w:val="left"/>
              <w:rPr/>
            </w:pPr>
            <w:r>
              <w:rPr/>
              <w:t>  ​ ​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431.6</w:t>
            </w:r>
          </w:p>
        </w:tc>
        <w:tc>
          <w:tcPr>
            <w:tcW w:w="346" w:type="dxa"/>
            <w:tcBorders/>
            <w:vAlign w:val="center"/>
          </w:tcPr>
          <w:p>
            <w:pPr>
              <w:pStyle w:val="TableContents"/>
              <w:bidi w:val="0"/>
              <w:spacing w:before="0" w:after="1"/>
              <w:ind w:left="0" w:right="0" w:hanging="0"/>
              <w:jc w:val="righ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455.3</w:t>
            </w:r>
          </w:p>
        </w:tc>
        <w:tc>
          <w:tcPr>
            <w:tcW w:w="346" w:type="dxa"/>
            <w:tcBorders/>
            <w:vAlign w:val="center"/>
          </w:tcPr>
          <w:p>
            <w:pPr>
              <w:pStyle w:val="TableContents"/>
              <w:bidi w:val="0"/>
              <w:spacing w:before="0" w:after="1"/>
              <w:ind w:left="0" w:right="0" w:hanging="0"/>
              <w:jc w:val="righ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102.8</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64.5</w:t>
            </w:r>
          </w:p>
        </w:tc>
        <w:tc>
          <w:tcPr>
            <w:tcW w:w="346" w:type="dxa"/>
            <w:tcBorders/>
            <w:vAlign w:val="center"/>
          </w:tcPr>
          <w:p>
            <w:pPr>
              <w:pStyle w:val="TableContents"/>
              <w:bidi w:val="0"/>
              <w:spacing w:before="0" w:after="1"/>
              <w:ind w:left="0" w:right="0" w:hanging="0"/>
              <w:jc w:val="righ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income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shd w:fill="CCEEFF" w:val="clear"/>
            <w:vAlign w:val="center"/>
          </w:tcPr>
          <w:p>
            <w:pPr>
              <w:pStyle w:val="TableContents"/>
              <w:bidi w:val="0"/>
              <w:spacing w:before="0" w:after="1"/>
              <w:ind w:left="0" w:right="0" w:hanging="0"/>
              <w:jc w:val="right"/>
              <w:rPr/>
            </w:pPr>
            <w:r>
              <w:rPr/>
              <w:t>  ​</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transactions, net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1"/>
              <w:ind w:left="0" w:right="0" w:hanging="0"/>
              <w:jc w:val="righ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 net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37.6</w:t>
            </w:r>
          </w:p>
        </w:tc>
        <w:tc>
          <w:tcPr>
            <w:tcW w:w="346" w:type="dxa"/>
            <w:tcBorders/>
            <w:vAlign w:val="center"/>
          </w:tcPr>
          <w:p>
            <w:pPr>
              <w:pStyle w:val="TableContents"/>
              <w:bidi w:val="0"/>
              <w:spacing w:before="0" w:after="1"/>
              <w:ind w:left="0" w:right="0" w:hanging="0"/>
              <w:jc w:val="righ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expense and trade interest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w:t>
            </w:r>
          </w:p>
        </w:tc>
        <w:tc>
          <w:tcPr>
            <w:tcW w:w="346" w:type="dxa"/>
            <w:tcBorders/>
            <w:shd w:fill="CCEEFF" w:val="clear"/>
            <w:vAlign w:val="center"/>
          </w:tcPr>
          <w:p>
            <w:pPr>
              <w:pStyle w:val="TableContents"/>
              <w:bidi w:val="0"/>
              <w:spacing w:before="0" w:after="1"/>
              <w:ind w:left="0" w:right="0" w:hanging="0"/>
              <w:jc w:val="righ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20"/>
              </w:rPr>
              <w:t xml:space="preserve">Segment profit </w:t>
            </w:r>
            <w:r>
              <w:rPr>
                <w:rFonts w:ascii="Times New Roman;Times;serif" w:hAnsi="Times New Roman;Times;serif"/>
                <w:sz w:val="16"/>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vAlign w:val="center"/>
          </w:tcPr>
          <w:p>
            <w:pPr>
              <w:pStyle w:val="TableContents"/>
              <w:bidi w:val="0"/>
              <w:spacing w:before="0" w:after="1"/>
              <w:ind w:left="0" w:right="0" w:hanging="0"/>
              <w:jc w:val="right"/>
              <w:rPr/>
            </w:pPr>
            <w:r>
              <w:rPr/>
              <w:t>​</w:t>
            </w:r>
          </w:p>
        </w:tc>
        <w:tc>
          <w:tcPr>
            <w:tcW w:w="42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5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41.0</w:t>
            </w:r>
          </w:p>
        </w:tc>
        <w:tc>
          <w:tcPr>
            <w:tcW w:w="346" w:type="dxa"/>
            <w:tcBorders/>
            <w:vAlign w:val="center"/>
          </w:tcPr>
          <w:p>
            <w:pPr>
              <w:pStyle w:val="TableContents"/>
              <w:bidi w:val="0"/>
              <w:spacing w:before="0" w:after="1"/>
              <w:ind w:left="0" w:right="0" w:hanging="0"/>
              <w:jc w:val="right"/>
              <w:rPr/>
            </w:pPr>
            <w:r>
              <w:rPr/>
              <w:t>​</w:t>
            </w:r>
          </w:p>
        </w:tc>
        <w:tc>
          <w:tcPr>
            <w:tcW w:w="99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c>
          <w:tcPr>
            <w:tcW w:w="4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0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operating statistics: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shd w:fill="CCEEFF" w:val="clear"/>
            <w:vAlign w:val="center"/>
          </w:tcPr>
          <w:p>
            <w:pPr>
              <w:pStyle w:val="TableContents"/>
              <w:bidi w:val="0"/>
              <w:spacing w:before="0" w:after="1"/>
              <w:ind w:left="0" w:right="0" w:hanging="0"/>
              <w:jc w:val="right"/>
              <w:rPr/>
            </w:pPr>
            <w:r>
              <w:rPr/>
              <w:t>  ​</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volumes*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w:t>
            </w:r>
          </w:p>
        </w:tc>
        <w:tc>
          <w:tcPr>
            <w:tcW w:w="4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Production volumes*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Percentage change in net sales: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 </w:t>
            </w:r>
          </w:p>
        </w:tc>
        <w:tc>
          <w:tcPr>
            <w:tcW w:w="991" w:type="dxa"/>
            <w:tcBorders/>
            <w:vAlign w:val="center"/>
          </w:tcPr>
          <w:p>
            <w:pPr>
              <w:pStyle w:val="TableContents"/>
              <w:bidi w:val="0"/>
              <w:spacing w:before="0" w:after="1"/>
              <w:ind w:left="0" w:right="0" w:hanging="0"/>
              <w:jc w:val="right"/>
              <w:rPr/>
            </w:pPr>
            <w:r>
              <w:rPr/>
              <w:t>​</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sales volumes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pricing</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mix/other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currency exchange rates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tbl>
      <w:tblPr>
        <w:tblW w:w="2417" w:type="dxa"/>
        <w:jc w:val="left"/>
        <w:tblInd w:w="0" w:type="dxa"/>
        <w:tblLayout w:type="fixed"/>
        <w:tblCellMar>
          <w:top w:w="0" w:type="dxa"/>
          <w:left w:w="0" w:type="dxa"/>
          <w:bottom w:w="0" w:type="dxa"/>
          <w:right w:w="0" w:type="dxa"/>
        </w:tblCellMar>
      </w:tblPr>
      <w:tblGrid>
        <w:gridCol w:w="226"/>
        <w:gridCol w:w="2191"/>
      </w:tblGrid>
      <w:tr>
        <w:trPr/>
        <w:tc>
          <w:tcPr>
            <w:tcW w:w="226"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w:t>
            </w:r>
          </w:p>
        </w:tc>
        <w:tc>
          <w:tcPr>
            <w:tcW w:w="2191"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Thousands of metric tons</w:t>
            </w:r>
          </w:p>
        </w:tc>
      </w:tr>
    </w:tbl>
    <w:p>
      <w:pPr>
        <w:pStyle w:val="TextBody"/>
        <w:pBdr/>
        <w:bidi w:val="0"/>
        <w:spacing w:before="0" w:after="160"/>
        <w:ind w:left="0" w:right="0" w:hanging="270"/>
        <w:jc w:val="both"/>
        <w:rPr>
          <w:rFonts w:ascii="Times New Roman;Times;serif" w:hAnsi="Times New Roman;Times;serif"/>
          <w:sz w:val="16"/>
        </w:rPr>
      </w:pPr>
      <w:r>
        <w:rPr>
          <w:rFonts w:ascii="Times New Roman;Times;serif" w:hAnsi="Times New Roman;Times;serif"/>
          <w:sz w:val="16"/>
        </w:rPr>
        <w:t>(1) We use segment profit to assess the performance of our TiO</w:t>
      </w:r>
      <w:r>
        <w:rPr>
          <w:rFonts w:ascii="Times New Roman;Times;serif" w:hAnsi="Times New Roman;Times;serif"/>
          <w:sz w:val="12"/>
        </w:rPr>
        <w:t>2</w:t>
      </w:r>
      <w:r>
        <w:rPr>
          <w:rFonts w:ascii="Times New Roman;Times;serif" w:hAnsi="Times New Roman;Times;serif"/>
          <w:sz w:val="16"/>
        </w:rPr>
        <w:t xml:space="preserve"> operations. Segment profit is defined as net income (loss) before income tax expense and certain general corporate items. The general corporate items include corporate expense and the components of other income (expense) except for trade interest income, see Note 2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sales </w:t>
      </w:r>
      <w:r>
        <w:rPr>
          <w:rFonts w:ascii="Times New Roman;Times;serif" w:hAnsi="Times New Roman;Times;serif"/>
          <w:sz w:val="20"/>
        </w:rPr>
        <w:t>- Net sales in the second quarter of 2026 increased 13%, or $63.7 million, compared to the second quarter of 2025 primarily due to the effects of a 16% increase in sales volumes (which increased net sales by approximately $79 million) and the favorable impact of changes in currency exchange rates (primarily the euro) which we estimate increased our net sales by approximately $10 million. These increases were partially offset by a 3% decrease in average TiO</w:t>
      </w:r>
      <w:r>
        <w:rPr>
          <w:rFonts w:ascii="Times New Roman;Times;serif" w:hAnsi="Times New Roman;Times;serif"/>
          <w:sz w:val="15"/>
        </w:rPr>
        <w:t xml:space="preserve">2 </w:t>
      </w:r>
      <w:r>
        <w:rPr>
          <w:rFonts w:ascii="Times New Roman;Times;serif" w:hAnsi="Times New Roman;Times;serif"/>
          <w:sz w:val="20"/>
        </w:rPr>
        <w:t>selling prices (which decreased net sales by approximately $15 million) and by changes in product mix, primarily due to lower average selling prices and lower sales volumes in our complementary businesses. TiO</w:t>
      </w:r>
      <w:r>
        <w:rPr>
          <w:rFonts w:ascii="Times New Roman;Times;serif" w:hAnsi="Times New Roman;Times;serif"/>
          <w:sz w:val="15"/>
        </w:rPr>
        <w:t>2</w:t>
      </w:r>
      <w:r>
        <w:rPr>
          <w:rFonts w:ascii="Times New Roman;Times;serif" w:hAnsi="Times New Roman;Times;serif"/>
          <w:sz w:val="20"/>
        </w:rPr>
        <w:t xml:space="preserve"> selling prices will increase or decrease generally as a result of competitive market pressures, change in the relative level of supply and demand as well as change in raw material and other manufacturing costs.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sales volumes increased 16% in the second quarter of 2026 as compared to the second quarter of 2025 primarily due to market share gains in all major markets resulting from changing competitive and supply conditions and anti-dumping duties that remain in effect in certain markets.</w:t>
      </w:r>
    </w:p>
    <w:p>
      <w:pPr>
        <w:pStyle w:val="TextBody"/>
        <w:bidi w:val="0"/>
        <w:spacing w:lineRule="auto" w:line="302" w:before="0" w:after="240"/>
        <w:ind w:left="0" w:right="0" w:firstLine="720"/>
        <w:jc w:val="both"/>
        <w:rPr>
          <w:rFonts w:ascii="Times New Roman;Times;serif" w:hAnsi="Times New Roman;Times;serif"/>
          <w:sz w:val="20"/>
        </w:rPr>
      </w:pPr>
      <w:r>
        <w:rPr>
          <w:rFonts w:ascii="Times New Roman;Times;serif" w:hAnsi="Times New Roman;Times;serif"/>
          <w:i/>
          <w:sz w:val="20"/>
        </w:rPr>
        <w:t>Cost of sales and gross margin </w:t>
      </w:r>
      <w:r>
        <w:rPr>
          <w:rFonts w:ascii="Times New Roman;Times;serif" w:hAnsi="Times New Roman;Times;serif"/>
          <w:sz w:val="20"/>
        </w:rPr>
        <w:t xml:space="preserve">- </w:t>
      </w:r>
      <w:r>
        <w:rPr>
          <w:rFonts w:ascii="Times New Roman;Times;serif" w:hAnsi="Times New Roman;Times;serif"/>
          <w:sz w:val="20"/>
          <w:shd w:fill="FFFFFF" w:val="clear"/>
        </w:rPr>
        <w:t xml:space="preserve">Cost of sales increased by $23.7 million, or 5%, in the </w:t>
      </w:r>
      <w:r>
        <w:rPr>
          <w:rFonts w:ascii="Times New Roman;Times;serif" w:hAnsi="Times New Roman;Times;serif"/>
          <w:sz w:val="20"/>
        </w:rPr>
        <w:t>second</w:t>
      </w:r>
      <w:r>
        <w:rPr>
          <w:rFonts w:ascii="Times New Roman;Times;serif" w:hAnsi="Times New Roman;Times;serif"/>
          <w:sz w:val="20"/>
          <w:shd w:fill="FFFFFF" w:val="clear"/>
        </w:rPr>
        <w:t xml:space="preserve"> quarter of 2026 compared to the </w:t>
      </w:r>
      <w:r>
        <w:rPr>
          <w:rFonts w:ascii="Times New Roman;Times;serif" w:hAnsi="Times New Roman;Times;serif"/>
          <w:sz w:val="20"/>
        </w:rPr>
        <w:t>second</w:t>
      </w:r>
      <w:r>
        <w:rPr>
          <w:rFonts w:ascii="Times New Roman;Times;serif" w:hAnsi="Times New Roman;Times;serif"/>
          <w:sz w:val="20"/>
          <w:shd w:fill="FFFFFF" w:val="clear"/>
        </w:rPr>
        <w:t xml:space="preserve"> quarter of 2025 due to a 16% increase in sales volumes </w:t>
      </w:r>
      <w:r>
        <w:rPr>
          <w:rFonts w:ascii="Times New Roman;Times;serif" w:hAnsi="Times New Roman;Times;serif"/>
          <w:sz w:val="20"/>
        </w:rPr>
        <w:t>and the unfavorable impact from changes in currency exchange rates. These increases were</w:t>
      </w:r>
      <w:r>
        <w:rPr>
          <w:rFonts w:ascii="Times New Roman;Times;serif" w:hAnsi="Times New Roman;Times;serif"/>
          <w:sz w:val="20"/>
          <w:shd w:fill="FFFFFF" w:val="clear"/>
        </w:rPr>
        <w:t xml:space="preserve"> partially offset by lower production costs resulting primarily from the cost reduction initiatives implemented in the fourth quarter of 2025, lower raw material costs (primarily feedstock), and lower unabsorbed fixed costs. Unabsorbed fixed costs were not material in the </w:t>
      </w:r>
      <w:r>
        <w:rPr>
          <w:rFonts w:ascii="Times New Roman;Times;serif" w:hAnsi="Times New Roman;Times;serif"/>
          <w:sz w:val="20"/>
        </w:rPr>
        <w:t>second</w:t>
      </w:r>
      <w:r>
        <w:rPr>
          <w:rFonts w:ascii="Times New Roman;Times;serif" w:hAnsi="Times New Roman;Times;serif"/>
          <w:sz w:val="20"/>
          <w:shd w:fill="FFFFFF" w:val="clear"/>
        </w:rPr>
        <w:t xml:space="preserve"> quarter of 2026 compared to approximately $20 million in the </w:t>
      </w:r>
      <w:r>
        <w:rPr>
          <w:rFonts w:ascii="Times New Roman;Times;serif" w:hAnsi="Times New Roman;Times;serif"/>
          <w:sz w:val="20"/>
        </w:rPr>
        <w:t>second</w:t>
      </w:r>
      <w:r>
        <w:rPr>
          <w:rFonts w:ascii="Times New Roman;Times;serif" w:hAnsi="Times New Roman;Times;serif"/>
          <w:sz w:val="20"/>
          <w:shd w:fill="FFFFFF" w:val="clear"/>
        </w:rPr>
        <w:t xml:space="preserve"> quarter of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sales as a percentage of net sales improved to 82% in the second quarter of 2026 compared to 87% in the same period of 2025, primarily due to the favorable effects of higher sales volumes and lower production costs, discussed above. These favorable impacts were partially offset by lower average TiO</w:t>
      </w:r>
      <w:r>
        <w:rPr>
          <w:rFonts w:ascii="Times New Roman;Times;serif" w:hAnsi="Times New Roman;Times;serif"/>
          <w:sz w:val="15"/>
        </w:rPr>
        <w:t>2</w:t>
      </w:r>
      <w:r>
        <w:rPr>
          <w:rFonts w:ascii="Times New Roman;Times;serif" w:hAnsi="Times New Roman;Times;serif"/>
          <w:sz w:val="20"/>
        </w:rPr>
        <w:t xml:space="preserve"> selling prices and the unfavorable impact of lower average selling prices and sales volumes within our complementary businesses.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margin as a percentage of net sales increased to 18% in the second quarter of 2026 compared to 13% in the second quarter of 2025. Our gross margin as a percentage of net sales increased primarily due to the net effects of higher sales volumes, lower average TiO</w:t>
      </w:r>
      <w:r>
        <w:rPr>
          <w:rFonts w:ascii="Times New Roman;Times;serif" w:hAnsi="Times New Roman;Times;serif"/>
          <w:sz w:val="15"/>
        </w:rPr>
        <w:t>2</w:t>
      </w:r>
      <w:r>
        <w:rPr>
          <w:rFonts w:ascii="Times New Roman;Times;serif" w:hAnsi="Times New Roman;Times;serif"/>
          <w:sz w:val="20"/>
        </w:rPr>
        <w:t xml:space="preserve"> selling prices, </w:t>
      </w:r>
      <w:r>
        <w:rPr>
          <w:rFonts w:ascii="Times New Roman;Times;serif" w:hAnsi="Times New Roman;Times;serif"/>
          <w:sz w:val="20"/>
          <w:shd w:fill="FFFFFF" w:val="clear"/>
        </w:rPr>
        <w:t xml:space="preserve">lower production costs as discussed above, </w:t>
      </w:r>
      <w:r>
        <w:rPr>
          <w:rFonts w:ascii="Times New Roman;Times;serif" w:hAnsi="Times New Roman;Times;serif"/>
          <w:sz w:val="20"/>
        </w:rPr>
        <w:t>and the unfavorable impact from changes in currency exchange rates.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Selling, general and administrative expense </w:t>
      </w:r>
      <w:r>
        <w:rPr>
          <w:rFonts w:ascii="Times New Roman;Times;serif" w:hAnsi="Times New Roman;Times;serif"/>
          <w:sz w:val="20"/>
        </w:rPr>
        <w:t>- Selling, general and administrative expense increased $2.4 million, or 4%, in the second quarter of 2026 compared to the second quarter of 2025, as the unfavorable impact of changes in currency exchange rates and higher distribution costs more than offset cost savings realized from the fourth quarter of 2025 restructuring. Excluding the effects of changes in currency exchange rates, distribution costs increased primarily due to higher sales volumes and elevated U.S. freight rates beginning early in the second quarter of 2026. Selling, general and administrative expense as a percentage of net sales decreased to 12% in the second quarter of 2026 compared to 13% in the second quarter of 2025, primarily due to the effects of higher sales.</w:t>
      </w:r>
    </w:p>
    <w:p>
      <w:pPr>
        <w:pStyle w:val="TextBody"/>
        <w:bidi w:val="0"/>
        <w:spacing w:before="0" w:after="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Segment profit </w:t>
      </w:r>
      <w:r>
        <w:rPr>
          <w:rFonts w:ascii="Times New Roman;Times;serif" w:hAnsi="Times New Roman;Times;serif"/>
          <w:sz w:val="20"/>
        </w:rPr>
        <w:t>- Segment profit increased by $30.1 million to $41.0 million in the second quarter of 2026 compared to $10.9 million in the second quarter of 2025, primarily as a result of the factors impacting gross margin discussed above. We estimate that changes in currency exchange rates decreased segment profit by approximately $12 million in the second quarter of 2026 compared to the same period in 2025, as discussed in the effects of currency exchange rates section below.</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Other non-operating income (expense)</w:t>
      </w:r>
      <w:r>
        <w:rPr>
          <w:rFonts w:ascii="Times New Roman;Times;serif" w:hAnsi="Times New Roman;Times;serif"/>
          <w:sz w:val="20"/>
        </w:rPr>
        <w:t> - Interest expense in the second quarter of 2026 increased by $1.4 million compared to the second quarter of 2025 primarily due to higher average debt balances and higher interest rates. See Note 6 to our Condensed Consolidated Financial Statements. Other components of net periodic pension and OPEB cost in the second quarter of 2026 increased $.2 million compared to the second quarter of 2025 primarily due to lower expected return on plan assets.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Income tax expense </w:t>
      </w:r>
      <w:r>
        <w:rPr>
          <w:rFonts w:ascii="Times New Roman;Times;serif" w:hAnsi="Times New Roman;Times;serif"/>
          <w:sz w:val="20"/>
        </w:rPr>
        <w:t>- We recognized income tax expense of $7.7 million in the second quarter of 2026 compared to income tax expense of $3.5 million in the second quarter of 2025. The increase is primarily due to higher earnings in the second quarter of 2026 and the jurisdictional mix of such earnings. Our earnings and losses are subject to income tax in various U.S. and non-U.S. jurisdictions, and the income tax rates applicable to the pre-tax earnings (losses) of our non-U.S. operations are generally higher than the income tax rates applicable to our U.S. operations. We would generally expect our overall effective tax rate, excluding the effect of any increase or decrease in our deferred income tax asset valuation allowances, changes in our reserve for uncertain tax positions, or tax rate changes to be higher than the U.S. federal statutory tax rate of 21% primarily because of our sizeable non-U.S. operations. See Note 11 to our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Six months ended June 30, 2026 compared to the six months ended June 30, 2025</w:t>
      </w:r>
    </w:p>
    <w:tbl>
      <w:tblPr>
        <w:tblW w:w="9027" w:type="dxa"/>
        <w:jc w:val="left"/>
        <w:tblInd w:w="0" w:type="dxa"/>
        <w:tblLayout w:type="fixed"/>
        <w:tblCellMar>
          <w:top w:w="0" w:type="dxa"/>
          <w:left w:w="0" w:type="dxa"/>
          <w:bottom w:w="0" w:type="dxa"/>
          <w:right w:w="0" w:type="dxa"/>
        </w:tblCellMar>
      </w:tblPr>
      <w:tblGrid>
        <w:gridCol w:w="4066"/>
        <w:gridCol w:w="346"/>
        <w:gridCol w:w="211"/>
        <w:gridCol w:w="571"/>
        <w:gridCol w:w="346"/>
        <w:gridCol w:w="421"/>
        <w:gridCol w:w="361"/>
        <w:gridCol w:w="211"/>
        <w:gridCol w:w="721"/>
        <w:gridCol w:w="346"/>
        <w:gridCol w:w="991"/>
        <w:gridCol w:w="436"/>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581910" cy="175260"/>
                      <wp:effectExtent l="0" t="0" r="0" b="0"/>
                      <wp:wrapNone/>
                      <wp:docPr id="237" name="Frame237"/>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62585" cy="175260"/>
                      <wp:effectExtent l="0" t="0" r="0" b="0"/>
                      <wp:wrapNone/>
                      <wp:docPr id="240" name="Frame24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67335" cy="175260"/>
                      <wp:effectExtent l="0" t="0" r="0" b="0"/>
                      <wp:wrapNone/>
                      <wp:docPr id="242" name="Frame24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29235" cy="175260"/>
                      <wp:effectExtent l="0" t="0" r="0" b="0"/>
                      <wp:wrapNone/>
                      <wp:docPr id="243" name="Frame2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57835" cy="175260"/>
                      <wp:effectExtent l="0" t="0" r="0" b="0"/>
                      <wp:wrapNone/>
                      <wp:docPr id="245" name="Frame24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29285" cy="175260"/>
                      <wp:effectExtent l="0" t="0" r="0" b="0"/>
                      <wp:wrapNone/>
                      <wp:docPr id="247" name="Frame24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76860" cy="175260"/>
                      <wp:effectExtent l="0" t="0" r="0" b="0"/>
                      <wp:wrapNone/>
                      <wp:docPr id="248" name="Frame24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0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left"/>
              <w:rPr/>
            </w:pPr>
            <w:r>
              <w:rPr/>
              <w:t>​</w:t>
            </w:r>
          </w:p>
        </w:tc>
        <w:tc>
          <w:tcPr>
            <w:tcW w:w="22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r>
      <w:tr>
        <w:trPr/>
        <w:tc>
          <w:tcPr>
            <w:tcW w:w="902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3968"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millions)</w:t>
            </w:r>
          </w:p>
        </w:tc>
        <w:tc>
          <w:tcPr>
            <w:tcW w:w="436" w:type="dxa"/>
            <w:tcBorders/>
            <w:vAlign w:val="center"/>
          </w:tcPr>
          <w:p>
            <w:pPr>
              <w:pStyle w:val="TableContents"/>
              <w:bidi w:val="0"/>
              <w:spacing w:before="0" w:after="1"/>
              <w:ind w:left="0" w:right="0" w:hanging="0"/>
              <w:jc w:val="left"/>
              <w:rPr/>
            </w:pPr>
            <w:r>
              <w:rPr/>
              <w:t> </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984.2</w:t>
            </w:r>
          </w:p>
        </w:tc>
        <w:tc>
          <w:tcPr>
            <w:tcW w:w="346" w:type="dxa"/>
            <w:tcBorders/>
            <w:shd w:fill="CCEEFF" w:val="clear"/>
            <w:vAlign w:val="center"/>
          </w:tcPr>
          <w:p>
            <w:pPr>
              <w:pStyle w:val="TableContents"/>
              <w:bidi w:val="0"/>
              <w:spacing w:before="0" w:after="1"/>
              <w:ind w:left="0" w:right="0" w:hanging="0"/>
              <w:jc w:val="left"/>
              <w:rPr/>
            </w:pPr>
            <w:r>
              <w:rPr/>
              <w:t>  ​ ​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1,067.9</w:t>
            </w:r>
          </w:p>
        </w:tc>
        <w:tc>
          <w:tcPr>
            <w:tcW w:w="346" w:type="dxa"/>
            <w:tcBorders/>
            <w:shd w:fill="CCEEFF" w:val="clear"/>
            <w:vAlign w:val="center"/>
          </w:tcPr>
          <w:p>
            <w:pPr>
              <w:pStyle w:val="TableContents"/>
              <w:bidi w:val="0"/>
              <w:spacing w:before="0" w:after="1"/>
              <w:ind w:left="0" w:right="0" w:hanging="0"/>
              <w:jc w:val="left"/>
              <w:rPr/>
            </w:pPr>
            <w:r>
              <w:rPr/>
              <w:t>  ​ ​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814.5</w:t>
            </w:r>
          </w:p>
        </w:tc>
        <w:tc>
          <w:tcPr>
            <w:tcW w:w="346" w:type="dxa"/>
            <w:tcBorders/>
            <w:vAlign w:val="center"/>
          </w:tcPr>
          <w:p>
            <w:pPr>
              <w:pStyle w:val="TableContents"/>
              <w:bidi w:val="0"/>
              <w:spacing w:before="0" w:after="1"/>
              <w:ind w:left="0" w:right="0" w:hanging="0"/>
              <w:jc w:val="righ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881.8</w:t>
            </w:r>
          </w:p>
        </w:tc>
        <w:tc>
          <w:tcPr>
            <w:tcW w:w="346" w:type="dxa"/>
            <w:tcBorders/>
            <w:vAlign w:val="center"/>
          </w:tcPr>
          <w:p>
            <w:pPr>
              <w:pStyle w:val="TableContents"/>
              <w:bidi w:val="0"/>
              <w:spacing w:before="0" w:after="1"/>
              <w:ind w:left="0" w:right="0" w:hanging="0"/>
              <w:jc w:val="righ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169.7</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186.1</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123.7</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128.1</w:t>
            </w:r>
          </w:p>
        </w:tc>
        <w:tc>
          <w:tcPr>
            <w:tcW w:w="346" w:type="dxa"/>
            <w:tcBorders/>
            <w:vAlign w:val="center"/>
          </w:tcPr>
          <w:p>
            <w:pPr>
              <w:pStyle w:val="TableContents"/>
              <w:bidi w:val="0"/>
              <w:spacing w:before="0" w:after="1"/>
              <w:ind w:left="0" w:right="0" w:hanging="0"/>
              <w:jc w:val="righ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income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shd w:fill="CCEEFF" w:val="clear"/>
            <w:vAlign w:val="center"/>
          </w:tcPr>
          <w:p>
            <w:pPr>
              <w:pStyle w:val="TableContents"/>
              <w:bidi w:val="0"/>
              <w:spacing w:before="0" w:after="1"/>
              <w:ind w:left="0" w:right="0" w:hanging="0"/>
              <w:jc w:val="right"/>
              <w:rPr/>
            </w:pPr>
            <w:r>
              <w:rPr/>
              <w:t>  ​</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transactions, net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w:t>
            </w:r>
          </w:p>
        </w:tc>
        <w:tc>
          <w:tcPr>
            <w:tcW w:w="346" w:type="dxa"/>
            <w:tcBorders/>
            <w:vAlign w:val="center"/>
          </w:tcPr>
          <w:p>
            <w:pPr>
              <w:pStyle w:val="TableContents"/>
              <w:bidi w:val="0"/>
              <w:spacing w:before="0" w:after="1"/>
              <w:ind w:left="0" w:right="0" w:hanging="0"/>
              <w:jc w:val="righ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 net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50.2</w:t>
            </w:r>
          </w:p>
        </w:tc>
        <w:tc>
          <w:tcPr>
            <w:tcW w:w="346" w:type="dxa"/>
            <w:tcBorders/>
            <w:vAlign w:val="center"/>
          </w:tcPr>
          <w:p>
            <w:pPr>
              <w:pStyle w:val="TableContents"/>
              <w:bidi w:val="0"/>
              <w:spacing w:before="0" w:after="1"/>
              <w:ind w:left="0" w:right="0" w:hanging="0"/>
              <w:jc w:val="righ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expense and trade interest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w:t>
            </w:r>
          </w:p>
        </w:tc>
        <w:tc>
          <w:tcPr>
            <w:tcW w:w="346" w:type="dxa"/>
            <w:tcBorders/>
            <w:shd w:fill="CCEEFF" w:val="clear"/>
            <w:vAlign w:val="center"/>
          </w:tcPr>
          <w:p>
            <w:pPr>
              <w:pStyle w:val="TableContents"/>
              <w:bidi w:val="0"/>
              <w:spacing w:before="0" w:after="1"/>
              <w:ind w:left="0" w:right="0" w:hanging="0"/>
              <w:jc w:val="righ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20"/>
              </w:rPr>
              <w:t xml:space="preserve">Segment profit </w:t>
            </w:r>
            <w:r>
              <w:rPr>
                <w:rFonts w:ascii="Times New Roman;Times;serif" w:hAnsi="Times New Roman;Times;serif"/>
                <w:sz w:val="16"/>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vAlign w:val="center"/>
          </w:tcPr>
          <w:p>
            <w:pPr>
              <w:pStyle w:val="TableContents"/>
              <w:bidi w:val="0"/>
              <w:spacing w:before="0" w:after="1"/>
              <w:ind w:left="0" w:right="0" w:hanging="0"/>
              <w:jc w:val="right"/>
              <w:rPr/>
            </w:pPr>
            <w:r>
              <w:rPr/>
              <w:t>​</w:t>
            </w:r>
          </w:p>
        </w:tc>
        <w:tc>
          <w:tcPr>
            <w:tcW w:w="42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72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56.1</w:t>
            </w:r>
          </w:p>
        </w:tc>
        <w:tc>
          <w:tcPr>
            <w:tcW w:w="346" w:type="dxa"/>
            <w:tcBorders/>
            <w:vAlign w:val="center"/>
          </w:tcPr>
          <w:p>
            <w:pPr>
              <w:pStyle w:val="TableContents"/>
              <w:bidi w:val="0"/>
              <w:spacing w:before="0" w:after="1"/>
              <w:ind w:left="0" w:right="0" w:hanging="0"/>
              <w:jc w:val="right"/>
              <w:rPr/>
            </w:pPr>
            <w:r>
              <w:rPr/>
              <w:t>​</w:t>
            </w:r>
          </w:p>
        </w:tc>
        <w:tc>
          <w:tcPr>
            <w:tcW w:w="99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4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0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operating statistics: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shd w:fill="CCEEFF" w:val="clear"/>
            <w:vAlign w:val="center"/>
          </w:tcPr>
          <w:p>
            <w:pPr>
              <w:pStyle w:val="TableContents"/>
              <w:bidi w:val="0"/>
              <w:spacing w:before="0" w:after="1"/>
              <w:ind w:left="0" w:right="0" w:hanging="0"/>
              <w:jc w:val="right"/>
              <w:rPr/>
            </w:pPr>
            <w:r>
              <w:rPr/>
              <w:t>  ​</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volumes*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295</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c>
          <w:tcPr>
            <w:tcW w:w="4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Production volumes*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263</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Percentage change in net sales: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 </w:t>
            </w:r>
          </w:p>
        </w:tc>
        <w:tc>
          <w:tcPr>
            <w:tcW w:w="991" w:type="dxa"/>
            <w:tcBorders/>
            <w:vAlign w:val="center"/>
          </w:tcPr>
          <w:p>
            <w:pPr>
              <w:pStyle w:val="TableContents"/>
              <w:bidi w:val="0"/>
              <w:spacing w:before="0" w:after="1"/>
              <w:ind w:left="0" w:right="0" w:hanging="0"/>
              <w:jc w:val="right"/>
              <w:rPr/>
            </w:pPr>
            <w:r>
              <w:rPr/>
              <w:t>​</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sales volumes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pricing</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mix/other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currency exchange rates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436"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tbl>
      <w:tblPr>
        <w:tblW w:w="2417" w:type="dxa"/>
        <w:jc w:val="left"/>
        <w:tblInd w:w="0" w:type="dxa"/>
        <w:tblLayout w:type="fixed"/>
        <w:tblCellMar>
          <w:top w:w="0" w:type="dxa"/>
          <w:left w:w="0" w:type="dxa"/>
          <w:bottom w:w="0" w:type="dxa"/>
          <w:right w:w="0" w:type="dxa"/>
        </w:tblCellMar>
      </w:tblPr>
      <w:tblGrid>
        <w:gridCol w:w="226"/>
        <w:gridCol w:w="2191"/>
      </w:tblGrid>
      <w:tr>
        <w:trPr/>
        <w:tc>
          <w:tcPr>
            <w:tcW w:w="226"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w:t>
            </w:r>
          </w:p>
        </w:tc>
        <w:tc>
          <w:tcPr>
            <w:tcW w:w="2191"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Thousands of metric tons</w:t>
            </w:r>
          </w:p>
        </w:tc>
      </w:tr>
    </w:tbl>
    <w:p>
      <w:pPr>
        <w:pStyle w:val="TextBody"/>
        <w:pBdr/>
        <w:bidi w:val="0"/>
        <w:spacing w:before="0" w:after="160"/>
        <w:ind w:left="0" w:right="0" w:hanging="270"/>
        <w:jc w:val="both"/>
        <w:rPr>
          <w:rFonts w:ascii="Times New Roman;Times;serif" w:hAnsi="Times New Roman;Times;serif"/>
          <w:sz w:val="16"/>
        </w:rPr>
      </w:pPr>
      <w:r>
        <w:rPr>
          <w:rFonts w:ascii="Times New Roman;Times;serif" w:hAnsi="Times New Roman;Times;serif"/>
          <w:sz w:val="16"/>
        </w:rPr>
        <w:t>(1) We use segment profit to assess the performance of our TiO</w:t>
      </w:r>
      <w:r>
        <w:rPr>
          <w:rFonts w:ascii="Times New Roman;Times;serif" w:hAnsi="Times New Roman;Times;serif"/>
          <w:sz w:val="12"/>
        </w:rPr>
        <w:t>2</w:t>
      </w:r>
      <w:r>
        <w:rPr>
          <w:rFonts w:ascii="Times New Roman;Times;serif" w:hAnsi="Times New Roman;Times;serif"/>
          <w:sz w:val="16"/>
        </w:rPr>
        <w:t xml:space="preserve"> operations. Segment profit is defined as net income (loss) before income tax expense and certain general corporate items. The general corporate items include corporate expense and the components of other income (expense) except for trade interest income, see Note 2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sales </w:t>
      </w:r>
      <w:r>
        <w:rPr>
          <w:rFonts w:ascii="Times New Roman;Times;serif" w:hAnsi="Times New Roman;Times;serif"/>
          <w:sz w:val="20"/>
        </w:rPr>
        <w:t>- Net sales in the first six months of 2026 increased 9%, or $83.7 million, compared to the first six months of 2025 primarily due to the effects of a 10% increase in sales volumes (which increased net sales by approximately $98 million) and the favorable impact of changes in currency exchange rates (primarily the euro), which we estimate increased our net sales by approximately $41 million. These increases were partially offset by a 4% decrease in average TiO</w:t>
      </w:r>
      <w:r>
        <w:rPr>
          <w:rFonts w:ascii="Times New Roman;Times;serif" w:hAnsi="Times New Roman;Times;serif"/>
          <w:sz w:val="15"/>
        </w:rPr>
        <w:t xml:space="preserve">2 </w:t>
      </w:r>
      <w:r>
        <w:rPr>
          <w:rFonts w:ascii="Times New Roman;Times;serif" w:hAnsi="Times New Roman;Times;serif"/>
          <w:sz w:val="20"/>
        </w:rPr>
        <w:t>selling prices (which decreased net sales by approximately $39 million) and by changes in product mix, primarily due to lower average selling prices and lower sales volumes in our complementary businesses. TiO</w:t>
      </w:r>
      <w:r>
        <w:rPr>
          <w:rFonts w:ascii="Times New Roman;Times;serif" w:hAnsi="Times New Roman;Times;serif"/>
          <w:sz w:val="15"/>
        </w:rPr>
        <w:t>2</w:t>
      </w:r>
      <w:r>
        <w:rPr>
          <w:rFonts w:ascii="Times New Roman;Times;serif" w:hAnsi="Times New Roman;Times;serif"/>
          <w:sz w:val="20"/>
        </w:rPr>
        <w:t xml:space="preserve"> selling prices will increase or decrease generally as a result of competitive market pressures, change in the relative level of supply and demand as well as change in raw material and other manufacturing costs.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sales volumes increased 10% in the first six months of 2026 as compared to the same period in 2025 primarily due to market share gains in all major markets resulting from changing competitive and supply conditions and anti-dumping duties that remain in effect in certain markets.   </w:t>
      </w:r>
    </w:p>
    <w:p>
      <w:pPr>
        <w:pStyle w:val="TextBody"/>
        <w:bidi w:val="0"/>
        <w:spacing w:lineRule="auto" w:line="300" w:before="0" w:after="240"/>
        <w:ind w:left="0" w:right="0" w:firstLine="720"/>
        <w:jc w:val="both"/>
        <w:rPr>
          <w:rFonts w:ascii="Times New Roman;Times;serif" w:hAnsi="Times New Roman;Times;serif"/>
          <w:sz w:val="20"/>
        </w:rPr>
      </w:pPr>
      <w:r>
        <w:rPr>
          <w:rFonts w:ascii="Times New Roman;Times;serif" w:hAnsi="Times New Roman;Times;serif"/>
          <w:i/>
          <w:sz w:val="20"/>
        </w:rPr>
        <w:t>Cost of sales and gross margin </w:t>
      </w:r>
      <w:r>
        <w:rPr>
          <w:rFonts w:ascii="Times New Roman;Times;serif" w:hAnsi="Times New Roman;Times;serif"/>
          <w:sz w:val="20"/>
        </w:rPr>
        <w:t xml:space="preserve">- </w:t>
      </w:r>
      <w:r>
        <w:rPr>
          <w:rFonts w:ascii="Times New Roman;Times;serif" w:hAnsi="Times New Roman;Times;serif"/>
          <w:sz w:val="20"/>
          <w:shd w:fill="FFFFFF" w:val="clear"/>
        </w:rPr>
        <w:t xml:space="preserve">Cost of sales increased by $67.3 million, or 8%, in the </w:t>
      </w:r>
      <w:r>
        <w:rPr>
          <w:rFonts w:ascii="Times New Roman;Times;serif" w:hAnsi="Times New Roman;Times;serif"/>
          <w:sz w:val="20"/>
        </w:rPr>
        <w:t>first six months</w:t>
      </w:r>
      <w:r>
        <w:rPr>
          <w:rFonts w:ascii="Times New Roman;Times;serif" w:hAnsi="Times New Roman;Times;serif"/>
          <w:sz w:val="20"/>
          <w:shd w:fill="FFFFFF" w:val="clear"/>
        </w:rPr>
        <w:t xml:space="preserve"> of 2026 compared to the </w:t>
      </w:r>
      <w:r>
        <w:rPr>
          <w:rFonts w:ascii="Times New Roman;Times;serif" w:hAnsi="Times New Roman;Times;serif"/>
          <w:sz w:val="20"/>
        </w:rPr>
        <w:t>first six months</w:t>
      </w:r>
      <w:r>
        <w:rPr>
          <w:rFonts w:ascii="Times New Roman;Times;serif" w:hAnsi="Times New Roman;Times;serif"/>
          <w:sz w:val="20"/>
          <w:shd w:fill="FFFFFF" w:val="clear"/>
        </w:rPr>
        <w:t xml:space="preserve"> of 2025 due to a 10% increase in sales volumes </w:t>
      </w:r>
      <w:r>
        <w:rPr>
          <w:rFonts w:ascii="Times New Roman;Times;serif" w:hAnsi="Times New Roman;Times;serif"/>
          <w:sz w:val="20"/>
        </w:rPr>
        <w:t xml:space="preserve">and the unfavorable impact from changes in currency exchange rates.  These increases were </w:t>
      </w:r>
      <w:r>
        <w:rPr>
          <w:rFonts w:ascii="Times New Roman;Times;serif" w:hAnsi="Times New Roman;Times;serif"/>
          <w:sz w:val="20"/>
          <w:shd w:fill="FFFFFF" w:val="clear"/>
        </w:rPr>
        <w:t>partially offset by lower production costs resulting primarily from the cost reduction initiatives implemented in the fourth quarter of 2025, lower raw material costs (primarily feedstock), and lower unabsorbed fixed costs. Unabsorbed fixed costs were not material in the first six months of 2026 compared to $30 million in the first six months of 2025.</w:t>
      </w:r>
    </w:p>
    <w:p>
      <w:pPr>
        <w:pStyle w:val="TextBody"/>
        <w:bidi w:val="0"/>
        <w:spacing w:lineRule="auto" w:line="300" w:before="0" w:after="240"/>
        <w:ind w:left="0" w:right="0" w:firstLine="720"/>
        <w:jc w:val="both"/>
        <w:rPr>
          <w:rFonts w:ascii="Times New Roman;Times;serif" w:hAnsi="Times New Roman;Times;serif"/>
          <w:sz w:val="20"/>
        </w:rPr>
      </w:pPr>
      <w:r>
        <w:rPr>
          <w:rFonts w:ascii="Times New Roman;Times;serif" w:hAnsi="Times New Roman;Times;serif"/>
          <w:sz w:val="20"/>
        </w:rPr>
        <w:t>Our cost of sales as a percentage of net sales was comparable at 83% in the first six months of 2026 and 2025 as the favorable effects of higher sales volumes and lower cost of inventory sold were offset by lower average TiO</w:t>
      </w:r>
      <w:r>
        <w:rPr>
          <w:rFonts w:ascii="Times New Roman;Times;serif" w:hAnsi="Times New Roman;Times;serif"/>
          <w:sz w:val="15"/>
        </w:rPr>
        <w:t>2</w:t>
      </w:r>
      <w:r>
        <w:rPr>
          <w:rFonts w:ascii="Times New Roman;Times;serif" w:hAnsi="Times New Roman;Times;serif"/>
          <w:sz w:val="20"/>
        </w:rPr>
        <w:t xml:space="preserve"> selling prices, the unfavorable impact of changes in currency exchange rates, and lower average selling prices and sales volumes within our complementary businesses.</w:t>
      </w:r>
    </w:p>
    <w:p>
      <w:pPr>
        <w:pStyle w:val="TextBody"/>
        <w:bidi w:val="0"/>
        <w:spacing w:lineRule="auto" w:line="300" w:before="0" w:after="240"/>
        <w:ind w:left="0" w:right="0" w:firstLine="720"/>
        <w:jc w:val="both"/>
        <w:rPr>
          <w:rFonts w:ascii="Times New Roman;Times;serif" w:hAnsi="Times New Roman;Times;serif"/>
          <w:sz w:val="20"/>
        </w:rPr>
      </w:pPr>
      <w:r>
        <w:rPr>
          <w:rFonts w:ascii="Times New Roman;Times;serif" w:hAnsi="Times New Roman;Times;serif"/>
          <w:sz w:val="20"/>
        </w:rPr>
        <w:t>Gross margin as a percentage of net sales was comparable at 17% in the first six months of 2026 and 2025 based on the factors affecting net sales and cost of sales, discussed above.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Selling, general and administrative expense </w:t>
      </w:r>
      <w:r>
        <w:rPr>
          <w:rFonts w:ascii="Times New Roman;Times;serif" w:hAnsi="Times New Roman;Times;serif"/>
          <w:sz w:val="20"/>
        </w:rPr>
        <w:t>- Selling, general and administrative expense increased $4.4 million, or 4%, in the first six months of 2026 compared to the first six months of 2025, as the unfavorable impact of changes in currency exchange rates and slightly higher distribution costs more than offset cost savings realized from the fourth quarter of 2025 restructuring. Excluding the effects of changes in currency exchange rates, distribution costs increased primarily due to higher sales volumes and elevated U.S. freight rates beginning early in the second quarter of 2026. These increases more than offset the benefit of the restructuring implemented in the fourth quarter 2025 and the one-time impact of additional warehousing costs in the first quarter of 2025 to position finished goods inventory in the U.S. in advance of anticipated U.S. federal government tariff announcements. Selling, general and administrative expense as a percentage of net sales decreased to 12% in the first six months of 2026 compared to 13% in the same period of 2025, primarily due to the effects of higher sales described above.</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Segment profit </w:t>
      </w:r>
      <w:r>
        <w:rPr>
          <w:rFonts w:ascii="Times New Roman;Times;serif" w:hAnsi="Times New Roman;Times;serif"/>
          <w:sz w:val="20"/>
        </w:rPr>
        <w:t>- Segment profit increased by $3.6 million to $56.1 million in the first six months of 2026 compared to $52.5 million in the first six months of 2025, primarily as a result of the factors impacting gross margin discussed above. We estimate that changes in currency exchange rates decreased segment profit by approximately $18 million in the first six months of 2026 compared to the same period in 2025, as discussed in the effects of currency exchange rates section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 non-operating income (expense)</w:t>
      </w:r>
      <w:r>
        <w:rPr>
          <w:rFonts w:ascii="Times New Roman;Times;serif" w:hAnsi="Times New Roman;Times;serif"/>
          <w:sz w:val="20"/>
        </w:rPr>
        <w:t> - Interest expense in the first six months of 2026 increased by $4.1 million compared to the first six months of 2025 primarily due to higher average debt balances and higher interest rates. See Note 6 to our Condensed Consolidated Financial Statements. Other components of net periodic pension and OPEB costs in the first six months of 2026 increased $.5 million compared to the first six months of 2025 primarily due to lower expected return on plan assets. We recognized an unrealized gain of $.3 million in the first six months of 2026 related to the change in marketable equity securities compared to an unrealized loss of $1.0 million in the same period of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Income tax expense </w:t>
      </w:r>
      <w:r>
        <w:rPr>
          <w:rFonts w:ascii="Times New Roman;Times;serif" w:hAnsi="Times New Roman;Times;serif"/>
          <w:sz w:val="20"/>
        </w:rPr>
        <w:t>- We recognized income tax expense of $10.5 million in the first six months of 2026 compared to income tax expense of $11.1 million in the same period of 2025. The decrease is primarily due to the jurisdictional mix of earnings partially offset by a net uncertain tax position of $2.0 million recognized in the first quarter of 2026. Our earnings and losses are subject to income tax in various U.S. and non-U.S. jurisdictions, and the income tax rates applicable to the pre-tax earnings (losses) of our non-U.S. operations are generally higher than the income tax rates applicable to our U.S. operations. We would generally expect our overall effective tax rate, excluding the effect of any increase or decrease in our deferred income tax asset valuation allowances, changes in our reserve for uncertain tax positions, or tax rate changes to be higher than the U.S. federal statutory tax rate of 21% primarily because of our sizeable non-U.S. operations. See Note 11 to our Condensed Consolidated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December 31, 2025, we had significant German corporate and trade net operating loss (NOL) carryforwards of $510.8 million (deferred tax asset “DTA” of $57.2 million) and $46.3 million (DTA of $5.0 million), respectively. Prior to December 31, 2025, and using all available evidence, we had concluded that no deferred income tax asset valuation allowance was required to be recognized with respect to such carryforwards, principally because (i) such carryforwards have an indefinite carryforward period, (ii) we have utilized a portion of such carryforwards during the most recent three-year period and (iii) we currently expect to utilize the remainder of such carryforwards over the long term. At June 30, 2026, we continue to conclude no valuation allowance is required to be recognized for our German DTAs although prior to the complete utilization of such carryforwards, if we were to generate additional losses in our German operations for an extended period of time, or if applicable laws were to change such that the carryforward periods were more limited, it is possible that we might conclude the benefit of such carryforwards would no longer meet the more-likely-than-not recognition criteria, at which point we would be required to recognize a valuation allowance against some or all of the then-remaining tax benefit associated with the carryforwards.</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Effects of currency exchange rates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substantial operations and assets located outside the United States (primarily in Germany, Belgium, Norway and Canada). The majority of our sales from non-U.S. operations are denominated in currencies other than the U.S. dollar, principally the euro, other major European currencies and the Canadian dollar. A portion of our sales generated from our non-U.S. operations is denominated in the U.S. dollar (and consequently our non-U.S. operations will generally hold U.S. dollars from time to time). Certain raw materials used in all our production facilities, primarily titanium-containing feedstocks, are purchased primarily in U.S. dollars, while labor and other production and administrative costs are incurred primarily in local currencies. Consequently, the translated U.S. dollar value of our non-U.S. sales and operating results are subject to currency exchange rate fluctuations which may favorably or unfavorably impact reported earnings and may affect the comparability of period-to-period operating results. In addition to the impact of the translation of sales and expenses over time, our non-U.S. operations also generate currency transaction gains and losses which primarily relate to (i) the difference between the currency exchange rates in effect when non-local currency sales or operating costs (primarily U.S. dollar denominated) are initially accrued and when such amounts are settled with the non-local currency, (ii) changes in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currency exchange rates during time periods when our non-U.S. operations are holding non-local currency (primarily U.S. dollars), and (iii) relative changes in the aggregate fair value of currency forward contracts held from time to time. We periodically use currency forward contracts to manage a portion of our currency exchange risk, and relative changes in the aggregate fair value of any currency forward contracts we hold from time to time serves in part to mitigate the currency transaction gains or losses we would recognize from the first two items described above.</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Fluctuations in currency exchange rates had the following effects on our sales and segment profit for the periods indicated.</w:t>
      </w:r>
    </w:p>
    <w:tbl>
      <w:tblPr>
        <w:tblW w:w="8192" w:type="dxa"/>
        <w:jc w:val="left"/>
        <w:tblInd w:w="0" w:type="dxa"/>
        <w:tblLayout w:type="fixed"/>
        <w:tblCellMar>
          <w:top w:w="0" w:type="dxa"/>
          <w:left w:w="0" w:type="dxa"/>
          <w:bottom w:w="0" w:type="dxa"/>
          <w:right w:w="0" w:type="dxa"/>
        </w:tblCellMar>
      </w:tblPr>
      <w:tblGrid>
        <w:gridCol w:w="1321"/>
        <w:gridCol w:w="346"/>
        <w:gridCol w:w="296"/>
        <w:gridCol w:w="317"/>
        <w:gridCol w:w="486"/>
        <w:gridCol w:w="296"/>
        <w:gridCol w:w="464"/>
        <w:gridCol w:w="486"/>
        <w:gridCol w:w="296"/>
        <w:gridCol w:w="612"/>
        <w:gridCol w:w="346"/>
        <w:gridCol w:w="527"/>
        <w:gridCol w:w="793"/>
        <w:gridCol w:w="346"/>
        <w:gridCol w:w="419"/>
        <w:gridCol w:w="84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838835" cy="175260"/>
                      <wp:effectExtent l="0" t="0" r="0" b="0"/>
                      <wp:wrapNone/>
                      <wp:docPr id="249" name="Frame249"/>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87960" cy="175260"/>
                      <wp:effectExtent l="0" t="0" r="0" b="0"/>
                      <wp:wrapNone/>
                      <wp:docPr id="251" name="Frame251"/>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1295" cy="175260"/>
                      <wp:effectExtent l="0" t="0" r="0" b="0"/>
                      <wp:wrapNone/>
                      <wp:docPr id="252" name="Frame252"/>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08610" cy="175260"/>
                      <wp:effectExtent l="0" t="0" r="0" b="0"/>
                      <wp:wrapNone/>
                      <wp:docPr id="253" name="Frame253"/>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87960" cy="175260"/>
                      <wp:effectExtent l="0" t="0" r="0" b="0"/>
                      <wp:wrapNone/>
                      <wp:docPr id="254" name="Frame254"/>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94640" cy="175260"/>
                      <wp:effectExtent l="0" t="0" r="0" b="0"/>
                      <wp:wrapNone/>
                      <wp:docPr id="255" name="Frame255"/>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08610" cy="175260"/>
                      <wp:effectExtent l="0" t="0" r="0" b="0"/>
                      <wp:wrapNone/>
                      <wp:docPr id="256" name="Frame256"/>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87960" cy="175260"/>
                      <wp:effectExtent l="0" t="0" r="0" b="0"/>
                      <wp:wrapNone/>
                      <wp:docPr id="257" name="Frame257"/>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88620" cy="175260"/>
                      <wp:effectExtent l="0" t="0" r="0" b="0"/>
                      <wp:wrapNone/>
                      <wp:docPr id="258" name="Frame258"/>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34645" cy="175260"/>
                      <wp:effectExtent l="0" t="0" r="0" b="0"/>
                      <wp:wrapNone/>
                      <wp:docPr id="260" name="Frame260"/>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03555" cy="175260"/>
                      <wp:effectExtent l="0" t="0" r="0" b="0"/>
                      <wp:wrapNone/>
                      <wp:docPr id="261" name="Frame261"/>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66065" cy="175260"/>
                      <wp:effectExtent l="0" t="0" r="0" b="0"/>
                      <wp:wrapNone/>
                      <wp:docPr id="263" name="Frame263"/>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34035" cy="175260"/>
                      <wp:effectExtent l="0" t="0" r="0" b="0"/>
                      <wp:wrapNone/>
                      <wp:docPr id="264" name="Frame26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192" w:type="dxa"/>
            <w:gridSpan w:val="16"/>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 of changes in currency exchange rates</w:t>
            </w:r>
          </w:p>
        </w:tc>
      </w:tr>
      <w:tr>
        <w:trPr/>
        <w:tc>
          <w:tcPr>
            <w:tcW w:w="8192"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2026 vs June 30, 2025</w:t>
            </w:r>
          </w:p>
        </w:tc>
      </w:tr>
      <w:tr>
        <w:trPr/>
        <w:tc>
          <w:tcPr>
            <w:tcW w:w="1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317" w:type="dxa"/>
            <w:tcBorders/>
            <w:vAlign w:val="center"/>
          </w:tcPr>
          <w:p>
            <w:pPr>
              <w:pStyle w:val="TableContents"/>
              <w:bidi w:val="0"/>
              <w:spacing w:before="0" w:after="1"/>
              <w:ind w:left="0" w:right="0" w:hanging="0"/>
              <w:jc w:val="center"/>
              <w:rPr/>
            </w:pPr>
            <w:r>
              <w:rPr/>
              <w:t>​</w:t>
            </w:r>
          </w:p>
        </w:tc>
        <w:tc>
          <w:tcPr>
            <w:tcW w:w="48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48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6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46" w:type="dxa"/>
            <w:tcBorders/>
            <w:vAlign w:val="center"/>
          </w:tcPr>
          <w:p>
            <w:pPr>
              <w:pStyle w:val="TableContents"/>
              <w:bidi w:val="0"/>
              <w:spacing w:before="0" w:after="1"/>
              <w:ind w:left="0" w:right="0" w:hanging="0"/>
              <w:jc w:val="center"/>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r>
      <w:tr>
        <w:trPr/>
        <w:tc>
          <w:tcPr>
            <w:tcW w:w="1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317" w:type="dxa"/>
            <w:tcBorders/>
            <w:vAlign w:val="center"/>
          </w:tcPr>
          <w:p>
            <w:pPr>
              <w:pStyle w:val="TableContents"/>
              <w:bidi w:val="0"/>
              <w:spacing w:before="0" w:after="1"/>
              <w:ind w:left="0" w:right="0" w:hanging="0"/>
              <w:jc w:val="center"/>
              <w:rPr/>
            </w:pPr>
            <w:r>
              <w:rPr/>
              <w:t>​</w:t>
            </w:r>
          </w:p>
        </w:tc>
        <w:tc>
          <w:tcPr>
            <w:tcW w:w="48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48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6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gains/(losses) -</w:t>
            </w:r>
          </w:p>
        </w:tc>
        <w:tc>
          <w:tcPr>
            <w:tcW w:w="346" w:type="dxa"/>
            <w:tcBorders/>
            <w:vAlign w:val="center"/>
          </w:tcPr>
          <w:p>
            <w:pPr>
              <w:pStyle w:val="TableContents"/>
              <w:bidi w:val="0"/>
              <w:spacing w:before="0" w:after="1"/>
              <w:ind w:left="0" w:right="0" w:hanging="0"/>
              <w:jc w:val="center"/>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currency</w:t>
            </w:r>
          </w:p>
        </w:tc>
      </w:tr>
      <w:tr>
        <w:trPr/>
        <w:tc>
          <w:tcPr>
            <w:tcW w:w="1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325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Transaction gains (losses) recognized</w:t>
            </w:r>
          </w:p>
        </w:tc>
        <w:tc>
          <w:tcPr>
            <w:tcW w:w="34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 of</w:t>
            </w:r>
          </w:p>
        </w:tc>
        <w:tc>
          <w:tcPr>
            <w:tcW w:w="346"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w:t>
            </w:r>
          </w:p>
        </w:tc>
      </w:tr>
      <w:tr>
        <w:trPr/>
        <w:tc>
          <w:tcPr>
            <w:tcW w:w="1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86" w:type="dxa"/>
            <w:tcBorders/>
            <w:vAlign w:val="center"/>
          </w:tcPr>
          <w:p>
            <w:pPr>
              <w:pStyle w:val="TableContents"/>
              <w:bidi w:val="0"/>
              <w:spacing w:before="0" w:after="1"/>
              <w:ind w:left="0" w:right="0" w:hanging="0"/>
              <w:jc w:val="left"/>
              <w:rPr/>
            </w:pPr>
            <w:r>
              <w:rPr/>
              <w:t>  ​ ​ ​</w:t>
            </w:r>
          </w:p>
        </w:tc>
        <w:tc>
          <w:tcPr>
            <w:tcW w:w="7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86" w:type="dxa"/>
            <w:tcBorders/>
            <w:vAlign w:val="center"/>
          </w:tcPr>
          <w:p>
            <w:pPr>
              <w:pStyle w:val="TableContents"/>
              <w:bidi w:val="0"/>
              <w:spacing w:before="0" w:after="1"/>
              <w:ind w:left="0" w:right="0" w:hanging="0"/>
              <w:jc w:val="left"/>
              <w:rPr/>
            </w:pPr>
            <w:r>
              <w:rPr/>
              <w:t>  ​ ​ ​</w:t>
            </w:r>
          </w:p>
        </w:tc>
        <w:tc>
          <w:tcPr>
            <w:tcW w:w="9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46" w:type="dxa"/>
            <w:tcBorders/>
            <w:vAlign w:val="center"/>
          </w:tcPr>
          <w:p>
            <w:pPr>
              <w:pStyle w:val="TableContents"/>
              <w:bidi w:val="0"/>
              <w:spacing w:before="0" w:after="1"/>
              <w:ind w:left="0" w:right="0" w:hanging="0"/>
              <w:jc w:val="left"/>
              <w:rPr/>
            </w:pPr>
            <w:r>
              <w:rPr/>
              <w:t>  ​ ​ ​</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rate changes</w:t>
            </w:r>
          </w:p>
        </w:tc>
        <w:tc>
          <w:tcPr>
            <w:tcW w:w="346" w:type="dxa"/>
            <w:tcBorders/>
            <w:vAlign w:val="center"/>
          </w:tcPr>
          <w:p>
            <w:pPr>
              <w:pStyle w:val="TableContents"/>
              <w:bidi w:val="0"/>
              <w:spacing w:before="0" w:after="1"/>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 vs 2025</w:t>
            </w:r>
          </w:p>
        </w:tc>
      </w:tr>
      <w:tr>
        <w:trPr/>
        <w:tc>
          <w:tcPr>
            <w:tcW w:w="8192"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1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96" w:type="dxa"/>
            <w:tcBorders/>
            <w:vAlign w:val="center"/>
          </w:tcPr>
          <w:p>
            <w:pPr>
              <w:pStyle w:val="TableContents"/>
              <w:bidi w:val="0"/>
              <w:spacing w:before="0" w:after="1"/>
              <w:ind w:left="0" w:right="0" w:hanging="0"/>
              <w:jc w:val="left"/>
              <w:rPr/>
            </w:pPr>
            <w:r>
              <w:rPr/>
              <w:t>​</w:t>
            </w:r>
          </w:p>
        </w:tc>
        <w:tc>
          <w:tcPr>
            <w:tcW w:w="6229" w:type="dxa"/>
            <w:gridSpan w:val="13"/>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13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Impact on:</w:t>
            </w:r>
          </w:p>
        </w:tc>
        <w:tc>
          <w:tcPr>
            <w:tcW w:w="34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right"/>
              <w:rPr/>
            </w:pPr>
            <w:r>
              <w:rPr/>
              <w:t>  ​</w:t>
            </w:r>
          </w:p>
        </w:tc>
        <w:tc>
          <w:tcPr>
            <w:tcW w:w="48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pPr>
            <w:r>
              <w:rPr/>
              <w:t>​</w:t>
            </w:r>
          </w:p>
        </w:tc>
        <w:tc>
          <w:tcPr>
            <w:tcW w:w="464" w:type="dxa"/>
            <w:tcBorders/>
            <w:shd w:fill="CCEEFF" w:val="clear"/>
            <w:vAlign w:val="center"/>
          </w:tcPr>
          <w:p>
            <w:pPr>
              <w:pStyle w:val="TableContents"/>
              <w:bidi w:val="0"/>
              <w:spacing w:before="0" w:after="1"/>
              <w:ind w:left="0" w:right="0" w:hanging="0"/>
              <w:jc w:val="right"/>
              <w:rPr/>
            </w:pPr>
            <w:r>
              <w:rPr/>
              <w:t>  ​</w:t>
            </w:r>
          </w:p>
        </w:tc>
        <w:tc>
          <w:tcPr>
            <w:tcW w:w="48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pPr>
            <w:r>
              <w:rPr/>
              <w:t>​</w:t>
            </w:r>
          </w:p>
        </w:tc>
        <w:tc>
          <w:tcPr>
            <w:tcW w:w="61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27"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41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1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8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8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profit</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3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48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4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8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419"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$10 million increase in net sales (translation gains) was caused primarily by a weakening of the U.S. dollar relative to the euro, as our euro-denominated sales were translated into more U.S. dollars in 2026 as compared to 2025. The weakening of the U.S. dollar relative to the Canadian dollar and the Norwegian krone in 2026 did not have a significant effect on our net sales, as a substantial portion of the sales generated by our Canadian and Norwegian operations is denominated in the U.S. dollar.</w:t>
      </w:r>
    </w:p>
    <w:p>
      <w:pPr>
        <w:pStyle w:val="TextBody"/>
        <w:bidi w:val="0"/>
        <w:spacing w:before="240" w:after="120"/>
        <w:ind w:left="0" w:right="0" w:firstLine="720"/>
        <w:jc w:val="both"/>
        <w:rPr>
          <w:rFonts w:ascii="Times New Roman;Times;serif" w:hAnsi="Times New Roman;Times;serif"/>
          <w:sz w:val="20"/>
        </w:rPr>
      </w:pPr>
      <w:r>
        <w:rPr>
          <w:rFonts w:ascii="Times New Roman;Times;serif" w:hAnsi="Times New Roman;Times;serif"/>
          <w:sz w:val="20"/>
        </w:rPr>
        <w:t>The $12 million decrease in segment profit was comprised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Higher net currency transaction losses of approximately $10 million primarily caused by relative changes in currency exchange rates at each applicable balance sheet date between the U.S. dollar and the euro, Canadian dollar and the Norwegian krone, and between the euro and the Norwegian krone, which causes increases or decreases, as applicable, in U.S. dollar-denominated receivables and payables and U.S. dollar currency held by our non-U.S. operations, and in Norwegian krone denominated receivables and payables held by our non-U.S. operations. In the first quarter of 2025, we entered into a currency forward contract to purchase €25 million at an exchange rate of €1.05 per U.S. dollar. We recognized a $2.3 million currency transaction gain which was included in our Condensed Consolidated Statement of Operations for the three months ended June 30, 2025,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$2 million from net currency translation losses primarily caused by a weakening of the U.S. dollar relative to the Canadian dollar, Norwegian krone and euro, as local currency-denominated operating costs were translated into more U.S, dollars in 2026 as compared to 2025. The net translation gains from the favorable effects of the weaker U.S. dollar on euro-denominated sales more than offset the negative effects on euro-denominated operating costs being translated into more U.S. dollars in 2026 as compared to 2025.</w:t>
            </w:r>
          </w:p>
        </w:tc>
      </w:tr>
    </w:tbl>
    <w:tbl>
      <w:tblPr>
        <w:tblW w:w="8192" w:type="dxa"/>
        <w:jc w:val="left"/>
        <w:tblInd w:w="0" w:type="dxa"/>
        <w:tblLayout w:type="fixed"/>
        <w:tblCellMar>
          <w:top w:w="0" w:type="dxa"/>
          <w:left w:w="0" w:type="dxa"/>
          <w:bottom w:w="0" w:type="dxa"/>
          <w:right w:w="0" w:type="dxa"/>
        </w:tblCellMar>
      </w:tblPr>
      <w:tblGrid>
        <w:gridCol w:w="1321"/>
        <w:gridCol w:w="346"/>
        <w:gridCol w:w="296"/>
        <w:gridCol w:w="317"/>
        <w:gridCol w:w="486"/>
        <w:gridCol w:w="296"/>
        <w:gridCol w:w="464"/>
        <w:gridCol w:w="486"/>
        <w:gridCol w:w="296"/>
        <w:gridCol w:w="612"/>
        <w:gridCol w:w="346"/>
        <w:gridCol w:w="527"/>
        <w:gridCol w:w="793"/>
        <w:gridCol w:w="346"/>
        <w:gridCol w:w="419"/>
        <w:gridCol w:w="84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838835" cy="175260"/>
                      <wp:effectExtent l="0" t="0" r="0" b="0"/>
                      <wp:wrapNone/>
                      <wp:docPr id="265" name="Frame265"/>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87960" cy="175260"/>
                      <wp:effectExtent l="0" t="0" r="0" b="0"/>
                      <wp:wrapNone/>
                      <wp:docPr id="267" name="Frame267"/>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1295" cy="175260"/>
                      <wp:effectExtent l="0" t="0" r="0" b="0"/>
                      <wp:wrapNone/>
                      <wp:docPr id="268" name="Frame268"/>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08610" cy="175260"/>
                      <wp:effectExtent l="0" t="0" r="0" b="0"/>
                      <wp:wrapNone/>
                      <wp:docPr id="269" name="Frame269"/>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87960" cy="175260"/>
                      <wp:effectExtent l="0" t="0" r="0" b="0"/>
                      <wp:wrapNone/>
                      <wp:docPr id="270" name="Frame270"/>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94640" cy="175260"/>
                      <wp:effectExtent l="0" t="0" r="0" b="0"/>
                      <wp:wrapNone/>
                      <wp:docPr id="271" name="Frame271"/>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08610" cy="175260"/>
                      <wp:effectExtent l="0" t="0" r="0" b="0"/>
                      <wp:wrapNone/>
                      <wp:docPr id="272" name="Frame272"/>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87960" cy="175260"/>
                      <wp:effectExtent l="0" t="0" r="0" b="0"/>
                      <wp:wrapNone/>
                      <wp:docPr id="273" name="Frame273"/>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88620" cy="175260"/>
                      <wp:effectExtent l="0" t="0" r="0" b="0"/>
                      <wp:wrapNone/>
                      <wp:docPr id="274" name="Frame274"/>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34645" cy="175260"/>
                      <wp:effectExtent l="0" t="0" r="0" b="0"/>
                      <wp:wrapNone/>
                      <wp:docPr id="276" name="Frame276"/>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03555" cy="175260"/>
                      <wp:effectExtent l="0" t="0" r="0" b="0"/>
                      <wp:wrapNone/>
                      <wp:docPr id="277" name="Frame277"/>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66065" cy="175260"/>
                      <wp:effectExtent l="0" t="0" r="0" b="0"/>
                      <wp:wrapNone/>
                      <wp:docPr id="279" name="Frame279"/>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34035" cy="175260"/>
                      <wp:effectExtent l="0" t="0" r="0" b="0"/>
                      <wp:wrapNone/>
                      <wp:docPr id="280" name="Frame28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192" w:type="dxa"/>
            <w:gridSpan w:val="16"/>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 of changes in currency exchange rates</w:t>
            </w:r>
          </w:p>
        </w:tc>
      </w:tr>
      <w:tr>
        <w:trPr/>
        <w:tc>
          <w:tcPr>
            <w:tcW w:w="8192"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2026 vs June 30, 2025</w:t>
            </w:r>
          </w:p>
        </w:tc>
      </w:tr>
      <w:tr>
        <w:trPr/>
        <w:tc>
          <w:tcPr>
            <w:tcW w:w="1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317" w:type="dxa"/>
            <w:tcBorders/>
            <w:vAlign w:val="center"/>
          </w:tcPr>
          <w:p>
            <w:pPr>
              <w:pStyle w:val="TableContents"/>
              <w:bidi w:val="0"/>
              <w:spacing w:before="0" w:after="1"/>
              <w:ind w:left="0" w:right="0" w:hanging="0"/>
              <w:jc w:val="center"/>
              <w:rPr/>
            </w:pPr>
            <w:r>
              <w:rPr/>
              <w:t>​</w:t>
            </w:r>
          </w:p>
        </w:tc>
        <w:tc>
          <w:tcPr>
            <w:tcW w:w="48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48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6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46" w:type="dxa"/>
            <w:tcBorders/>
            <w:vAlign w:val="center"/>
          </w:tcPr>
          <w:p>
            <w:pPr>
              <w:pStyle w:val="TableContents"/>
              <w:bidi w:val="0"/>
              <w:spacing w:before="0" w:after="1"/>
              <w:ind w:left="0" w:right="0" w:hanging="0"/>
              <w:jc w:val="center"/>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r>
      <w:tr>
        <w:trPr/>
        <w:tc>
          <w:tcPr>
            <w:tcW w:w="1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317" w:type="dxa"/>
            <w:tcBorders/>
            <w:vAlign w:val="center"/>
          </w:tcPr>
          <w:p>
            <w:pPr>
              <w:pStyle w:val="TableContents"/>
              <w:bidi w:val="0"/>
              <w:spacing w:before="0" w:after="1"/>
              <w:ind w:left="0" w:right="0" w:hanging="0"/>
              <w:jc w:val="center"/>
              <w:rPr/>
            </w:pPr>
            <w:r>
              <w:rPr/>
              <w:t>​</w:t>
            </w:r>
          </w:p>
        </w:tc>
        <w:tc>
          <w:tcPr>
            <w:tcW w:w="48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48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6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gains/(losses) -</w:t>
            </w:r>
          </w:p>
        </w:tc>
        <w:tc>
          <w:tcPr>
            <w:tcW w:w="346" w:type="dxa"/>
            <w:tcBorders/>
            <w:vAlign w:val="center"/>
          </w:tcPr>
          <w:p>
            <w:pPr>
              <w:pStyle w:val="TableContents"/>
              <w:bidi w:val="0"/>
              <w:spacing w:before="0" w:after="1"/>
              <w:ind w:left="0" w:right="0" w:hanging="0"/>
              <w:jc w:val="center"/>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currency</w:t>
            </w:r>
          </w:p>
        </w:tc>
      </w:tr>
      <w:tr>
        <w:trPr/>
        <w:tc>
          <w:tcPr>
            <w:tcW w:w="1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325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Transaction gains (losses) recognized</w:t>
            </w:r>
          </w:p>
        </w:tc>
        <w:tc>
          <w:tcPr>
            <w:tcW w:w="34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 of</w:t>
            </w:r>
          </w:p>
        </w:tc>
        <w:tc>
          <w:tcPr>
            <w:tcW w:w="346"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w:t>
            </w:r>
          </w:p>
        </w:tc>
      </w:tr>
      <w:tr>
        <w:trPr/>
        <w:tc>
          <w:tcPr>
            <w:tcW w:w="1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86" w:type="dxa"/>
            <w:tcBorders/>
            <w:vAlign w:val="center"/>
          </w:tcPr>
          <w:p>
            <w:pPr>
              <w:pStyle w:val="TableContents"/>
              <w:bidi w:val="0"/>
              <w:spacing w:before="0" w:after="1"/>
              <w:ind w:left="0" w:right="0" w:hanging="0"/>
              <w:jc w:val="left"/>
              <w:rPr/>
            </w:pPr>
            <w:r>
              <w:rPr/>
              <w:t>  ​ ​ ​</w:t>
            </w:r>
          </w:p>
        </w:tc>
        <w:tc>
          <w:tcPr>
            <w:tcW w:w="7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86" w:type="dxa"/>
            <w:tcBorders/>
            <w:vAlign w:val="center"/>
          </w:tcPr>
          <w:p>
            <w:pPr>
              <w:pStyle w:val="TableContents"/>
              <w:bidi w:val="0"/>
              <w:spacing w:before="0" w:after="1"/>
              <w:ind w:left="0" w:right="0" w:hanging="0"/>
              <w:jc w:val="left"/>
              <w:rPr/>
            </w:pPr>
            <w:r>
              <w:rPr/>
              <w:t>  ​ ​ ​</w:t>
            </w:r>
          </w:p>
        </w:tc>
        <w:tc>
          <w:tcPr>
            <w:tcW w:w="9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46" w:type="dxa"/>
            <w:tcBorders/>
            <w:vAlign w:val="center"/>
          </w:tcPr>
          <w:p>
            <w:pPr>
              <w:pStyle w:val="TableContents"/>
              <w:bidi w:val="0"/>
              <w:spacing w:before="0" w:after="1"/>
              <w:ind w:left="0" w:right="0" w:hanging="0"/>
              <w:jc w:val="left"/>
              <w:rPr/>
            </w:pPr>
            <w:r>
              <w:rPr/>
              <w:t>  ​ ​ ​</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rate changes</w:t>
            </w:r>
          </w:p>
        </w:tc>
        <w:tc>
          <w:tcPr>
            <w:tcW w:w="346" w:type="dxa"/>
            <w:tcBorders/>
            <w:vAlign w:val="center"/>
          </w:tcPr>
          <w:p>
            <w:pPr>
              <w:pStyle w:val="TableContents"/>
              <w:bidi w:val="0"/>
              <w:spacing w:before="0" w:after="1"/>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 vs 2025</w:t>
            </w:r>
          </w:p>
        </w:tc>
      </w:tr>
      <w:tr>
        <w:trPr/>
        <w:tc>
          <w:tcPr>
            <w:tcW w:w="8192"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1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96" w:type="dxa"/>
            <w:tcBorders/>
            <w:vAlign w:val="center"/>
          </w:tcPr>
          <w:p>
            <w:pPr>
              <w:pStyle w:val="TableContents"/>
              <w:bidi w:val="0"/>
              <w:spacing w:before="0" w:after="1"/>
              <w:ind w:left="0" w:right="0" w:hanging="0"/>
              <w:jc w:val="left"/>
              <w:rPr/>
            </w:pPr>
            <w:r>
              <w:rPr/>
              <w:t>​</w:t>
            </w:r>
          </w:p>
        </w:tc>
        <w:tc>
          <w:tcPr>
            <w:tcW w:w="6229" w:type="dxa"/>
            <w:gridSpan w:val="13"/>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13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Impact on:</w:t>
            </w:r>
          </w:p>
        </w:tc>
        <w:tc>
          <w:tcPr>
            <w:tcW w:w="34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right"/>
              <w:rPr/>
            </w:pPr>
            <w:r>
              <w:rPr/>
              <w:t>  ​</w:t>
            </w:r>
          </w:p>
        </w:tc>
        <w:tc>
          <w:tcPr>
            <w:tcW w:w="48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pPr>
            <w:r>
              <w:rPr/>
              <w:t>​</w:t>
            </w:r>
          </w:p>
        </w:tc>
        <w:tc>
          <w:tcPr>
            <w:tcW w:w="464" w:type="dxa"/>
            <w:tcBorders/>
            <w:shd w:fill="CCEEFF" w:val="clear"/>
            <w:vAlign w:val="center"/>
          </w:tcPr>
          <w:p>
            <w:pPr>
              <w:pStyle w:val="TableContents"/>
              <w:bidi w:val="0"/>
              <w:spacing w:before="0" w:after="1"/>
              <w:ind w:left="0" w:right="0" w:hanging="0"/>
              <w:jc w:val="right"/>
              <w:rPr/>
            </w:pPr>
            <w:r>
              <w:rPr/>
              <w:t>  ​</w:t>
            </w:r>
          </w:p>
        </w:tc>
        <w:tc>
          <w:tcPr>
            <w:tcW w:w="48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pPr>
            <w:r>
              <w:rPr/>
              <w:t>​</w:t>
            </w:r>
          </w:p>
        </w:tc>
        <w:tc>
          <w:tcPr>
            <w:tcW w:w="61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27"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41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1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8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8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profit</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3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8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4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48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419"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$41 million increase in net sales (translation gains) was caused primarily by a weakening of the U.S. dollar relative to the euro, as our euro-denominated sales were translated into more U.S. dollars in 2026 as compared to 2025. The weakening of the U.S. dollar relative to the Canadian dollar and the Norwegian krone in 2026 did not have a significant effect on our net sales, as a substantial portion of the sales generated by our Canadian and Norwegian operations is denominated in the U.S. dollar.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$18 million decrease in segment profit was comprised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Higher net currency transaction losses of approximately $11 million primarily caused by relative changes in currency exchange rates at each applicable balance sheet date between the U.S. dollar and the euro, Canadian dollar and the Norwegian krone, and between the euro and the Norwegian krone, which causes increases or decreases, as applicable, in U.S. dollar-denominated receivables and payables and U.S. dollar currency held by our non-U.S. operations, and in Norwegian krone denominated receivables and payables held by our non-U.S. operations. In the first quarter of 2025, we entered into a currency forward contract to purchase €25 million at an exchange rate of €1.05 per U.S. dollar. We recognized a $3.2 million currency transaction gain which was included in our Condensed Consolidated Statement of Operations for the six months ended June 30, 2025,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$7 million from net currency translation losses primarily caused by a weakening of the U.S. dollar relative to the Canadian dollar, Norwegian krone and euro, as local currency-denominated operating costs were translated into more U.S, dollars in 2026 as compared to 2025. The net translation gains from the favorable effects of the weaker U.S. dollar on euro-denominated sales more than offset the negative effects on euro-denominated operating costs being translated into more U.S. dollars in 2026 as compared to 2025.</w:t>
            </w:r>
          </w:p>
        </w:tc>
      </w:tr>
    </w:tbl>
    <w:p>
      <w:pPr>
        <w:pStyle w:val="TextBody"/>
        <w:bidi w:val="0"/>
        <w:spacing w:before="240" w:after="120"/>
        <w:ind w:left="0" w:right="0" w:hanging="0"/>
        <w:jc w:val="left"/>
        <w:rPr>
          <w:rFonts w:ascii="Times New Roman;Times;serif" w:hAnsi="Times New Roman;Times;serif"/>
          <w:b/>
          <w:sz w:val="20"/>
        </w:rPr>
      </w:pPr>
      <w:r>
        <w:rPr>
          <w:rFonts w:ascii="Times New Roman;Times;serif" w:hAnsi="Times New Roman;Times;serif"/>
          <w:b/>
          <w:sz w:val="20"/>
        </w:rPr>
        <w:t>Outlook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second quarter of 2026, we continued the positive momentum from the first quarter, with sales volumes improving compared to the same period in 2025. Volume growth was driven by higher sales across all major markets as a result of market share gains, particularly in Europe, reflecting changing competitive and supply conditions that created opportunities to expand our customer base. While demand has improved compared to 2025, overall demand remains below historical levels, particularly in North America, where demand continues to be affected by broader economic uncertainty, prolonged elevated interest rates and subdued consumer spending. We believe industry-wide TiO</w:t>
      </w:r>
      <w:r>
        <w:rPr>
          <w:rFonts w:ascii="Times New Roman;Times;serif" w:hAnsi="Times New Roman;Times;serif"/>
          <w:sz w:val="15"/>
        </w:rPr>
        <w:t>2</w:t>
      </w:r>
      <w:r>
        <w:rPr>
          <w:rFonts w:ascii="Times New Roman;Times;serif" w:hAnsi="Times New Roman;Times;serif"/>
          <w:sz w:val="20"/>
        </w:rPr>
        <w:t xml:space="preserve"> inventories remain constrained and customer order levels have improved in response to geopolitical instability and recent supply and shipping disruptions in certain regions. As a result, customer order lead times have lengthened. Our order backlog entering the third quarter is favorable compared to prior year, providing greater flexibility in our near- and intermediate-term production planning.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Based on our performance during the first six months of 2026, we currently expect full-year net sales to exceed 2025 levels and we expect gross margin and operating income margins to improve compared to 2025. We implemented additional price increases and surcharges during the second quarter of 2026 in response to higher production, energy and logistic costs, and we expect the overall pricing environment to remain favorable through the remainder of the year. While our overall selling prices remain below prior year levels, industry supply conditions and ongoing pricing initiatives are expected to support further price increases during the second half of 2026. However, additional pricing actions may be required to further improve profit margins toward historical levels.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cost-reduction initiatives implemented during the fourth quarter of 2025, including workforce reductions and other measures designed to align our cost structure with current demand levels, continue to benefit our operating results in 2026. During the second quarter of 2026, we realized improved gross margins, and we expect margins to continue to benefit from lower cost inventory produced during 2026 and more favorable selling prices. Our operational restructuring allows us to run our facilities more efficiently at lower production rates for extended periods while maintaining flexibility to respond to changing market conditions. We operated our facilities within our normal capacity range during the first six months of 2026, and we currently expect to continue operating within our normal capacity range for the remainder of the year.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remain focused on improving profitability through pricing actions, disciplined cost management, and continued execution of our operating cost structural realignment initiatives. We also continue to pursue targeted sales growth opportunities in regions affected by changing competitive and supply conditions, logistical challenges and trade measures that have reduced the competitiveness of certain imports.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Liquidity and capital resources remain sufficient to support our operations and planned capital investments. While we typically experience significant seasonal cash usage in the first half of the year, we expect cash on hand to improve over the remainder of the year. We will continue to actively manage working capital, including inventories and receivables, to bolster operating cash flows and maintain financial flexibility. We believe our revolving credit facility availability, combined with the absence of near-term debt maturities and improved operating cash flows, will provide adequate liquidity for expected working capital needs and capital allocation requirements. </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expectations for the TiO</w:t>
      </w:r>
      <w:r>
        <w:rPr>
          <w:rFonts w:ascii="Times New Roman;Times;serif" w:hAnsi="Times New Roman;Times;serif"/>
          <w:sz w:val="15"/>
        </w:rPr>
        <w:t>2</w:t>
      </w:r>
      <w:r>
        <w:rPr>
          <w:rFonts w:ascii="Times New Roman;Times;serif" w:hAnsi="Times New Roman;Times;serif"/>
          <w:sz w:val="20"/>
        </w:rPr>
        <w:t xml:space="preserve"> industry and our operations are based on a number of factors outside our control. Our operations are affected by global and regional economic, political and regulatory factors, and we have experienced global market disruptions. Future impacts on our operations will depend on, among other things, future energy costs, the effect of newly enacted tariffs in jurisdictions where we or our customers and suppliers operate, our success in implementing mitigation strategies, and the impact of economic conditions, consumer confidence, and geopolitical events on our operations or our customers’ and suppliers’ operations, all of which remain uncertain and cannot be predicted.</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Consolidated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Trends in cash flows as a result of our operating activities (excluding the impact of significant asset dispositions and relative changes in assets and liabilities) are generally similar to trends in our earnings. In addition to the impact of the operating, investing and financing cash flows discussed below, changes in the amount of cash, cash equivalents and restricted cash we report from period to period can be impacted by changes in currency exchange rates, since a portion of our cash, cash equivalents and restricted cash is held by our non-U.S. subsidiaries.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Cash provided by operating activities was $2.0 million in the first six months of 2026 compared to cash used of $81.7 million in the first six months of 2025. This $83.7 million increase in the amount of cash provided by operating activities was primarily due to the net effect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amount of net cash used associated with relative changes in our inventories, receivables, payables and accruals in 2026 of $42.6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cash paid for taxes in 2026 of $32.3 million primarily due to our final repatriation tax installment payment under the 2017 Tax Act made in 2025 of $18.6 million and the relative timing of payments,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cash paid for interest in 2026 of $6.3 million primarily due to increased debt levels and higher average interest rates relative to the comparable period in 2025 and the timing of interest payments, and</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income from operations in 2026 of $4.4 million.</w:t>
            </w:r>
          </w:p>
        </w:tc>
      </w:tr>
    </w:tbl>
    <w:p>
      <w:pPr>
        <w:pStyle w:val="TextBody"/>
        <w:bidi w:val="0"/>
        <w:spacing w:before="240" w:after="120"/>
        <w:ind w:left="0" w:right="0" w:firstLine="720"/>
        <w:jc w:val="both"/>
        <w:rPr>
          <w:rFonts w:ascii="Times New Roman;Times;serif" w:hAnsi="Times New Roman;Times;serif"/>
          <w:sz w:val="20"/>
        </w:rPr>
      </w:pPr>
      <w:r>
        <w:rPr>
          <w:rFonts w:ascii="Times New Roman;Times;serif" w:hAnsi="Times New Roman;Times;serif"/>
          <w:sz w:val="20"/>
        </w:rPr>
        <w:t>Changes in working capital were affected by accounts receivable and inventory changes. As shown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average days sales outstanding, or DSO, increased from December 31, 2025 to June 30, 2026 primarily due to the relative changes in the timing of sales and collections,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average days sales in inventory, or DSI, decreased from December 31, 2025 to June 30, 2026 primarily due to lower inventory volumes attributable to sales volumes exceeding production volumes in the first six months of 2026. </w:t>
            </w:r>
          </w:p>
        </w:tc>
      </w:tr>
    </w:tbl>
    <w:tbl>
      <w:tblPr>
        <w:tblW w:w="7929" w:type="dxa"/>
        <w:jc w:val="left"/>
        <w:tblInd w:w="0" w:type="dxa"/>
        <w:tblLayout w:type="fixed"/>
        <w:tblCellMar>
          <w:top w:w="0" w:type="dxa"/>
          <w:left w:w="0" w:type="dxa"/>
          <w:bottom w:w="0" w:type="dxa"/>
          <w:right w:w="0" w:type="dxa"/>
        </w:tblCellMar>
      </w:tblPr>
      <w:tblGrid>
        <w:gridCol w:w="496"/>
        <w:gridCol w:w="346"/>
        <w:gridCol w:w="1726"/>
        <w:gridCol w:w="346"/>
        <w:gridCol w:w="1276"/>
        <w:gridCol w:w="346"/>
        <w:gridCol w:w="1726"/>
        <w:gridCol w:w="346"/>
        <w:gridCol w:w="1321"/>
      </w:tblGrid>
      <w:tr>
        <w:trPr/>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14960" cy="175260"/>
                      <wp:effectExtent l="0" t="0" r="0" b="0"/>
                      <wp:wrapNone/>
                      <wp:docPr id="281" name="Frame281"/>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096010" cy="175260"/>
                      <wp:effectExtent l="0" t="0" r="0" b="0"/>
                      <wp:wrapNone/>
                      <wp:docPr id="283" name="Frame283"/>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810260" cy="175260"/>
                      <wp:effectExtent l="0" t="0" r="0" b="0"/>
                      <wp:wrapNone/>
                      <wp:docPr id="285" name="Frame285"/>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096010" cy="175260"/>
                      <wp:effectExtent l="0" t="0" r="0" b="0"/>
                      <wp:wrapNone/>
                      <wp:docPr id="287" name="Frame287"/>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838835" cy="175260"/>
                      <wp:effectExtent l="0" t="0" r="0" b="0"/>
                      <wp:wrapNone/>
                      <wp:docPr id="289" name="Frame289"/>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346" w:type="dxa"/>
            <w:tcBorders/>
            <w:vAlign w:val="center"/>
          </w:tcPr>
          <w:p>
            <w:pPr>
              <w:pStyle w:val="TableContents"/>
              <w:bidi w:val="0"/>
              <w:spacing w:before="0" w:after="0"/>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46" w:type="dxa"/>
            <w:tcBorders/>
            <w:vAlign w:val="center"/>
          </w:tcPr>
          <w:p>
            <w:pPr>
              <w:pStyle w:val="TableContents"/>
              <w:bidi w:val="0"/>
              <w:spacing w:before="0" w:after="0"/>
              <w:ind w:left="0" w:right="0" w:hanging="0"/>
              <w:jc w:val="center"/>
              <w:rPr/>
            </w:pPr>
            <w:r>
              <w:rPr/>
              <w:t>  ​ ​ ​</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center"/>
              <w:rPr/>
            </w:pPr>
            <w:r>
              <w:rPr/>
              <w:t>  ​ ​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r>
      <w:tr>
        <w:trPr/>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DSO</w:t>
            </w:r>
          </w:p>
        </w:tc>
        <w:tc>
          <w:tcPr>
            <w:tcW w:w="346" w:type="dxa"/>
            <w:tcBorders/>
            <w:shd w:fill="CCEEFF" w:val="clear"/>
            <w:vAlign w:val="center"/>
          </w:tcPr>
          <w:p>
            <w:pPr>
              <w:pStyle w:val="TableContents"/>
              <w:bidi w:val="0"/>
              <w:spacing w:before="0" w:after="0"/>
              <w:ind w:left="0" w:right="0" w:hanging="0"/>
              <w:jc w:val="center"/>
              <w:rPr/>
            </w:pPr>
            <w:r>
              <w:rPr/>
              <w:t>​</w:t>
            </w:r>
          </w:p>
        </w:tc>
        <w:tc>
          <w:tcPr>
            <w:tcW w:w="17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 days</w:t>
            </w:r>
          </w:p>
        </w:tc>
        <w:tc>
          <w:tcPr>
            <w:tcW w:w="346" w:type="dxa"/>
            <w:tcBorders/>
            <w:shd w:fill="CCEEFF" w:val="clear"/>
            <w:vAlign w:val="center"/>
          </w:tcPr>
          <w:p>
            <w:pPr>
              <w:pStyle w:val="TableContents"/>
              <w:bidi w:val="0"/>
              <w:spacing w:before="0" w:after="0"/>
              <w:ind w:left="0" w:right="0" w:hanging="0"/>
              <w:jc w:val="center"/>
              <w:rPr/>
            </w:pPr>
            <w:r>
              <w:rPr/>
              <w:t>​</w:t>
            </w:r>
          </w:p>
        </w:tc>
        <w:tc>
          <w:tcPr>
            <w:tcW w:w="12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 days</w:t>
            </w:r>
          </w:p>
        </w:tc>
        <w:tc>
          <w:tcPr>
            <w:tcW w:w="346" w:type="dxa"/>
            <w:tcBorders/>
            <w:shd w:fill="CCEEFF" w:val="clear"/>
            <w:vAlign w:val="center"/>
          </w:tcPr>
          <w:p>
            <w:pPr>
              <w:pStyle w:val="TableContents"/>
              <w:bidi w:val="0"/>
              <w:spacing w:before="0" w:after="0"/>
              <w:ind w:left="0" w:right="0" w:hanging="0"/>
              <w:jc w:val="center"/>
              <w:rPr/>
            </w:pPr>
            <w:r>
              <w:rPr/>
              <w:t>​</w:t>
            </w:r>
          </w:p>
        </w:tc>
        <w:tc>
          <w:tcPr>
            <w:tcW w:w="17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 days</w:t>
            </w:r>
          </w:p>
        </w:tc>
        <w:tc>
          <w:tcPr>
            <w:tcW w:w="346" w:type="dxa"/>
            <w:tcBorders/>
            <w:shd w:fill="CCEEFF" w:val="clear"/>
            <w:vAlign w:val="center"/>
          </w:tcPr>
          <w:p>
            <w:pPr>
              <w:pStyle w:val="TableContents"/>
              <w:bidi w:val="0"/>
              <w:spacing w:before="0" w:after="0"/>
              <w:ind w:left="0" w:right="0" w:hanging="0"/>
              <w:jc w:val="center"/>
              <w:rPr/>
            </w:pPr>
            <w:r>
              <w:rPr/>
              <w:t>​</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 days</w:t>
            </w:r>
          </w:p>
        </w:tc>
      </w:tr>
      <w:tr>
        <w:trPr/>
        <w:tc>
          <w:tcPr>
            <w:tcW w:w="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DSI</w:t>
            </w:r>
          </w:p>
        </w:tc>
        <w:tc>
          <w:tcPr>
            <w:tcW w:w="346" w:type="dxa"/>
            <w:tcBorders/>
            <w:vAlign w:val="center"/>
          </w:tcPr>
          <w:p>
            <w:pPr>
              <w:pStyle w:val="TableContents"/>
              <w:bidi w:val="0"/>
              <w:spacing w:before="0" w:after="0"/>
              <w:ind w:left="0" w:right="0" w:hanging="0"/>
              <w:jc w:val="center"/>
              <w:rPr/>
            </w:pPr>
            <w:r>
              <w:rPr/>
              <w:t>​</w:t>
            </w:r>
          </w:p>
        </w:tc>
        <w:tc>
          <w:tcPr>
            <w:tcW w:w="1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 days</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 days</w:t>
            </w:r>
          </w:p>
        </w:tc>
        <w:tc>
          <w:tcPr>
            <w:tcW w:w="346" w:type="dxa"/>
            <w:tcBorders/>
            <w:vAlign w:val="center"/>
          </w:tcPr>
          <w:p>
            <w:pPr>
              <w:pStyle w:val="TableContents"/>
              <w:bidi w:val="0"/>
              <w:spacing w:before="0" w:after="0"/>
              <w:ind w:left="0" w:right="0" w:hanging="0"/>
              <w:jc w:val="center"/>
              <w:rPr/>
            </w:pPr>
            <w:r>
              <w:rPr/>
              <w:t>​</w:t>
            </w:r>
          </w:p>
        </w:tc>
        <w:tc>
          <w:tcPr>
            <w:tcW w:w="1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 days</w:t>
            </w:r>
          </w:p>
        </w:tc>
        <w:tc>
          <w:tcPr>
            <w:tcW w:w="34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 days</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capital expenditures of $26.3 million and $23.2 million in the first six months of 2026 and 2025, respectively, were primarily to maintain and improve the cost effectiveness of our manufacturing facilities.</w:t>
      </w:r>
    </w:p>
    <w:p>
      <w:pPr>
        <w:pStyle w:val="TextBody"/>
        <w:bidi w:val="0"/>
        <w:spacing w:before="240" w:after="12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During the first </w:t>
      </w:r>
      <w:r>
        <w:rPr>
          <w:rFonts w:ascii="Times New Roman;Times;serif" w:hAnsi="Times New Roman;Times;serif"/>
          <w:sz w:val="20"/>
        </w:rPr>
        <w:t>six</w:t>
      </w:r>
      <w:r>
        <w:rPr>
          <w:rFonts w:ascii="Times New Roman;Times;serif" w:hAnsi="Times New Roman;Times;serif"/>
          <w:sz w:val="20"/>
          <w:shd w:fill="FFFFFF" w:val="clear"/>
        </w:rPr>
        <w:t xml:space="preserve"> months of 2026 and 2025, we paid quarterly dividends of $.05 per share to stockholders aggregating $11.5 million each period. </w:t>
      </w:r>
    </w:p>
    <w:p>
      <w:pPr>
        <w:pStyle w:val="TextBody"/>
        <w:bidi w:val="0"/>
        <w:spacing w:before="0" w:after="12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During the first six months of 2026 and 2025, we had net borrowings of $28.4 million and $25.4 million, respectively, on our revolving credit facility.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debt obligations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At June 30, 2026, our consolidated debt comprised: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426.174 million aggregate outstanding on our 9.50% Senior Secured Notes due March 2029 ($487.7 million carrying amount, net of unamortized premium and unamortized debt issuance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 million outstanding on our subordinated, unsecured term loan from Contran, with an interest rate of 9.54%, due September 2029 (the “Contran Term Loan”), and</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 million outstanding on our revolving credit facility (the “Global Revolver”).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Availability under the Global Revolver is subject to a borrowing base calculation, as defined in the agreement. The borrowing base calculated for the period ended June 30, 2026 was approximately $261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Senior Secured Notes, the Contran Term Loan and our Global Revolver contain a number of covenants and restrictions which, among other things, restrict our ability to incur or guarantee additional debt, incur liens, pay dividends or make other restricted payments, or merge or consolidate with, or sell or transfer substantially all of our assets to, another entity, and contain other provisions and restrictive covenants customary in lending transactions of these types. Our credit agreements contain provisions which could result in the acceleration of indebtedness prior to their stated maturity for reasons other than defaults for failure to comply with typical financial or payment covenants. For example, the credit agreements allow the lender to accelerate the maturity of the indebtedness upon a change of control (as defined in the agreement) of the borrower. In addition, the credit agreements could result in the acceleration of all or a portion of the indebtedness following a sale of assets outside the ordinary course of business. The terms of all of our debt instruments are discussed in Note 8 to our Consolidated Financial Statements included in our 2025 Annual Report. We are in compliance with all of our debt covenants at June 30, 2026. We believe we will be able to continue to comply with the financial covenants contained in our credit facility through its maturity; however, if future operating results differ materially from our expectations we may be unable to maintain compliance.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assets consist primarily of investments in operating subsidiaries, and our ability to service our obligations, including the Senior Secured Notes and the Contran Term Loan, depends in part upon the distribution of earnings of our subsidiaries, whether in the form of dividends, advances or payments on account of intercompany obligations or otherwise. Our Senior Secured Notes are collateralized by, among other things, a first priority lien on (i) 100% of the common stock or other ownership interests of each existing and future direct domestic subsidiary of KII and the guarantors, and (ii) 65% of the voting common stock or other ownership interests and 100% of the non-voting common stock or other ownership interests of each non-U.S. subsidiary that is directly owned by KII or any guarantor. Our Global Revolver is collateralized by, among other things, a first priority lien on the borrower’s trade receivables and inventories. See Note 6 to our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Future cash requirements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primary source of liquidity on an ongoing basis is cash flows from operating activities which is generally used to (i) fund capital expenditures, (ii) repay any short-term indebtedness incurred for working capital purposes, (iii) provide for the payment of dividends and (iv) fund purchases of shares of our common stock under our stock repurchase program. From time-to-time we will incur indebtedness, generally to (i) fund short-term working capital needs, (ii) refinance existing indebtedness or (iii) fund major capital expenditures or the acquisition of other assets outside the ordinary course of business. We will also from time-to-time sell assets outside the ordinary course of business and use the proceeds to (i) repay existing indebtedness, (ii) make investments in marketable and other securities, (iii) fund major capital expenditures or the acquisition of other assets outside the ordinary course of business or (iv) pay 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TiO</w:t>
      </w:r>
      <w:r>
        <w:rPr>
          <w:rFonts w:ascii="Times New Roman;Times;serif" w:hAnsi="Times New Roman;Times;serif"/>
          <w:sz w:val="15"/>
        </w:rPr>
        <w:t>2</w:t>
      </w:r>
      <w:r>
        <w:rPr>
          <w:rFonts w:ascii="Times New Roman;Times;serif" w:hAnsi="Times New Roman;Times;serif"/>
          <w:sz w:val="20"/>
        </w:rPr>
        <w:t xml:space="preserve"> industry is cyclical, and changes in industry economic conditions significantly impact earnings and operating cash flows. Changes in TiO</w:t>
      </w:r>
      <w:r>
        <w:rPr>
          <w:rFonts w:ascii="Times New Roman;Times;serif" w:hAnsi="Times New Roman;Times;serif"/>
          <w:sz w:val="15"/>
        </w:rPr>
        <w:t>2</w:t>
      </w:r>
      <w:r>
        <w:rPr>
          <w:rFonts w:ascii="Times New Roman;Times;serif" w:hAnsi="Times New Roman;Times;serif"/>
          <w:sz w:val="20"/>
        </w:rPr>
        <w:t xml:space="preserve"> pricing, production volumes and customer demand, among other things, could significantly affect our liquidity.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routinely evaluate our liquidity requirements, alternative uses of capital, capital needs and availability of resources in view of, among other things, our dividend policy, our debt service, our capital expenditure requirements and estimated future operating cash flows. As a result of this process, we have in the past and may in the future seek to reduce, refinance, repurchase or restructure indebtedness, raise additional capital, repurchase shares of our common stock, modify our dividend policy, restructure ownership interests, sell interests in our subsidiaries or other assets, or take a combination of these steps or other steps to manage our liquidity and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16"/>
        </w:rPr>
      </w:pPr>
      <w:r>
        <w:rPr>
          <w:rFonts w:ascii="Times New Roman;Times;serif" w:hAnsi="Times New Roman;Times;serif"/>
          <w:sz w:val="20"/>
        </w:rPr>
        <w:t>capital resources. Such activities have in the past and may in the future involve related companies. We may also from time to time engage in preliminary discussions with existing or potential investors regarding the timing or terms of any such refinancing or other potential transaction. In the normal course of our business, we may investigate, evaluate, discuss and engage in acquisition, joint venture, strategic relationship and other business combination opportunities in the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industry. In the event of any future acquisition or joint venture opportunity, we may consider using then-available liquidity, issuing our equity securities or incurring additional indebtedness.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2026, we had aggregate cash, cash equivalents and restricted cash on hand of $34.5 million, of which $27.8 million was held by our non-U.S. subsidiaries. Following implementation of a territorial tax system under the 2017 Tax Act, repatriation of any cash and cash equivalents held by our non-U.S. subsidiaries would not be expected to result in any material income tax liability as a result of such repatriation. Based upon our expectations of our operating performance and the anticipated demands on our cash resources, we expect to have sufficient liquidity to meet our short-term obligations (defined as the twelve-month period ending June 30, 2027) and our long-term obligations (defined as the five-year period ending June 30, 2031, our time period for long-term budgeting). Our Global Revolver matures in July 2029, and at June 30, 2026, we had total availability for borrowing of approximately $261 million less any amounts outstanding under this facility. The borrowing base is calculated at least quarterly, and the amount available for borrowing may change based on applicable period end balances. See Note 6 to our Condensed Consolidated Financial Statements.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Capital expenditures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intend to invest approximately $60 million in capital expenditures primarily to maintain and improve our existing facilities during 2026, including $26.3 million in expenditures through June 30, 2026. It is possible we will delay planned capital projects based on market conditions including but not limited to expected demand and the general availability of materials, equipment and supplies necessary to complete such projects.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Stock repurchase program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2026, we have 1,017,518 shares available for repurchase under a stock repurchase program authorized by our board of directors.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Notes 11 and 13 to our Condensed Consolidated Financial Statements for a description of certain income tax contingencies and certain legal proceedings.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16 to our Condensed Consolidated Financial Statements.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For a discussion of our critical accounting policies, refer to Part I, Item 7 - “Management’s Discussion and Analysis of Financial Condition and Results of Operations” in our 2025 Annual Report. There have been no changes in our critical accounting policies during the first six months of 2026.</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75" w:name="ITEM3QUANTITATIVEANDQUALITATIVEDISCLOSUR"/>
      <w:bookmarkStart w:id="1076" w:name="_e4849025_83ba_4175_b23c_b1ae712a6e8b"/>
      <w:bookmarkEnd w:id="1075"/>
      <w:bookmarkEnd w:id="1076"/>
      <w:r>
        <w:rPr>
          <w:rFonts w:ascii="Times New Roman;Times;serif" w:hAnsi="Times New Roman;Times;serif"/>
          <w:b/>
          <w:sz w:val="20"/>
        </w:rPr>
        <w:t>ITEM 3.    QUANTITATIVE AND QUALITATIVE DISCLOSURE ABOUT MARKET RISK</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360"/>
        <w:ind w:left="0" w:right="0" w:firstLine="720"/>
        <w:jc w:val="both"/>
        <w:rPr>
          <w:rFonts w:ascii="Times New Roman;Times;serif" w:hAnsi="Times New Roman;Times;serif"/>
          <w:sz w:val="20"/>
        </w:rPr>
      </w:pPr>
      <w:r>
        <w:rPr>
          <w:rFonts w:ascii="Times New Roman;Times;serif" w:hAnsi="Times New Roman;Times;serif"/>
          <w:sz w:val="20"/>
        </w:rPr>
        <w:t>We are exposed to market risk, including currency exchange rates, interest rates, equity security and raw material prices. There have been no material changes in these market risks since we filed our 2025 Annual Report. See also Part I, Item 7A. - “Quantitative and Qualitative Disclosure About Market Risk” in our 2025 Annual Report and Note 14 to our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1077" w:name="ITEM4CONTROLSANDPROCEDURES_824804"/>
      <w:bookmarkStart w:id="1078" w:name="_f94f816d_4a77_4a34_925f_da83eb726d18"/>
      <w:bookmarkEnd w:id="1077"/>
      <w:bookmarkEnd w:id="1078"/>
      <w:r>
        <w:rPr>
          <w:rFonts w:ascii="Times New Roman;Times;serif" w:hAnsi="Times New Roman;Times;serif"/>
          <w:b/>
          <w:sz w:val="20"/>
        </w:rPr>
        <w:t>ITEM 4.    CONTROLS AND PROCEDURES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maintain disclosure controls and procedures which, as defined in Exchange Act Rule 13a-15(e), means controls and other procedures that are designed to ensure that information required to be disclosed in the reports that we file or submit to the SEC under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Each of Brian W. Christian, our President and Chief Executive Officer and Bradley E. Troutman, our Senior Vice President and Chief Financial Officer, has evaluated the design and effectiveness of our disclosure controls and procedures as of June 30, 2026. Based upon their evaluation, these executive officers have concluded that our disclosure controls and procedures are effective as of the date of such evaluation.</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Internal control over financial reporting</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which, as defined by Exchange Act Rule 13a-15(f) means a process designed by, or under the supervision of, our principal executive and principal financial officers, or persons performing similar functions,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an unauthorized acquisition, use or disposition of our assets that could have a material effect on our Condensed Consolidated Financial Statements.</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360"/>
        <w:ind w:left="0" w:right="0" w:firstLine="720"/>
        <w:jc w:val="both"/>
        <w:rPr>
          <w:rFonts w:ascii="Times New Roman;Times;serif" w:hAnsi="Times New Roman;Times;serif"/>
          <w:sz w:val="20"/>
        </w:rPr>
      </w:pPr>
      <w:bookmarkStart w:id="1079" w:name="PartIIOTHERINFORMATION_304115"/>
      <w:bookmarkEnd w:id="1079"/>
      <w:r>
        <w:rPr>
          <w:rFonts w:ascii="Times New Roman;Times;serif" w:hAnsi="Times New Roman;Times;serif"/>
          <w:sz w:val="20"/>
        </w:rPr>
        <w:t>There has been no change to our internal control over financial reporting during the quarter ended June 30, 2026 that has materially affected, or is reasonably likely to materially affect, our internal control over financial reporting.</w:t>
      </w:r>
    </w:p>
    <w:p>
      <w:pPr>
        <w:pStyle w:val="TextBody"/>
        <w:bidi w:val="0"/>
        <w:spacing w:before="240" w:after="240"/>
        <w:ind w:left="0" w:right="0" w:hanging="0"/>
        <w:jc w:val="center"/>
        <w:rPr>
          <w:rFonts w:ascii="Times New Roman;Times;serif" w:hAnsi="Times New Roman;Times;serif"/>
          <w:b/>
          <w:sz w:val="20"/>
        </w:rPr>
      </w:pPr>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080" w:name="Item1ARiskFactors_453232"/>
      <w:bookmarkStart w:id="1081" w:name="_76cb2208_918a_4929_928a_0084ae57b6aa"/>
      <w:bookmarkEnd w:id="1080"/>
      <w:bookmarkEnd w:id="1081"/>
      <w:r>
        <w:rPr>
          <w:rFonts w:ascii="Times New Roman;Times;serif" w:hAnsi="Times New Roman;Times;serif"/>
          <w:b/>
          <w:sz w:val="20"/>
        </w:rPr>
        <w:t>Item 1A.   Risk Factors</w:t>
      </w:r>
    </w:p>
    <w:p>
      <w:pPr>
        <w:pStyle w:val="TextBody"/>
        <w:bidi w:val="0"/>
        <w:spacing w:before="0" w:after="120"/>
        <w:ind w:left="0" w:right="0" w:hanging="0"/>
        <w:jc w:val="left"/>
        <w:rPr>
          <w:rFonts w:ascii="Times New Roman;Times;serif" w:hAnsi="Times New Roman;Times;serif"/>
          <w:b w:val="false"/>
          <w:sz w:val="20"/>
        </w:rPr>
      </w:pPr>
      <w:r>
        <w:rPr>
          <w:rFonts w:ascii="Times New Roman;Times;serif" w:hAnsi="Times New Roman;Times;serif"/>
          <w:b w:val="false"/>
          <w:sz w:val="20"/>
        </w:rPr>
        <w:t>For a discussion of the risk factors related to our businesses, refer to Part I, Item 1A, “Risk Factors,” in our 2025 Annual Report.</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082" w:name="_e6f35cb9_bcaf_42a6_a65f_55683e9ebe72"/>
      <w:bookmarkStart w:id="1083" w:name="_Item_6._Exhibits"/>
      <w:bookmarkEnd w:id="1082"/>
      <w:bookmarkEnd w:id="1083"/>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743"/>
        <w:gridCol w:w="346"/>
        <w:gridCol w:w="9116"/>
      </w:tblGrid>
      <w:tr>
        <w:trPr/>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pPr>
            <w:r>
              <w:rPr/>
              <w:t>​</w:t>
            </w:r>
          </w:p>
        </w:tc>
      </w:tr>
      <w:tr>
        <w:trPr/>
        <w:tc>
          <w:tcPr>
            <w:tcW w:w="7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  ​ ​ ​</w:t>
            </w:r>
          </w:p>
        </w:tc>
        <w:tc>
          <w:tcPr>
            <w:tcW w:w="9116" w:type="dxa"/>
            <w:tcBorders/>
            <w:vAlign w:val="center"/>
          </w:tcPr>
          <w:p>
            <w:pPr>
              <w:pStyle w:val="TableContents"/>
              <w:bidi w:val="0"/>
              <w:spacing w:before="0" w:after="0"/>
              <w:ind w:left="0" w:right="0" w:hanging="0"/>
              <w:jc w:val="left"/>
              <w:rPr/>
            </w:pPr>
            <w:hyperlink w:anchor="kro-20260630xex31d1.htm">
              <w:r>
                <w:rPr>
                  <w:rStyle w:val="InternetLink"/>
                  <w:rFonts w:ascii="Times New Roman;Times;serif" w:hAnsi="Times New Roman;Times;serif"/>
                  <w:b w:val="false"/>
                  <w:i w:val="false"/>
                  <w:caps w:val="false"/>
                  <w:smallCaps w:val="false"/>
                  <w:sz w:val="20"/>
                </w:rPr>
                <w:t>Certification</w:t>
              </w:r>
            </w:hyperlink>
          </w:p>
        </w:tc>
      </w:tr>
      <w:tr>
        <w:trPr/>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pPr>
            <w:r>
              <w:rPr/>
              <w:t>​</w:t>
            </w:r>
          </w:p>
        </w:tc>
      </w:tr>
      <w:tr>
        <w:trPr/>
        <w:tc>
          <w:tcPr>
            <w:tcW w:w="7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pPr>
            <w:hyperlink w:anchor="kro-20260630xex31d2.htm">
              <w:r>
                <w:rPr>
                  <w:rStyle w:val="InternetLink"/>
                  <w:rFonts w:ascii="Times New Roman;Times;serif" w:hAnsi="Times New Roman;Times;serif"/>
                  <w:b w:val="false"/>
                  <w:i w:val="false"/>
                  <w:caps w:val="false"/>
                  <w:smallCaps w:val="false"/>
                  <w:sz w:val="20"/>
                </w:rPr>
                <w:t>Certification</w:t>
              </w:r>
            </w:hyperlink>
          </w:p>
        </w:tc>
      </w:tr>
      <w:tr>
        <w:trPr/>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pPr>
            <w:r>
              <w:rPr/>
              <w:t>​</w:t>
            </w:r>
          </w:p>
        </w:tc>
      </w:tr>
      <w:tr>
        <w:trPr/>
        <w:tc>
          <w:tcPr>
            <w:tcW w:w="7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pPr>
            <w:hyperlink w:anchor="kro-20260630xex32d1.htm">
              <w:r>
                <w:rPr>
                  <w:rStyle w:val="InternetLink"/>
                  <w:rFonts w:ascii="Times New Roman;Times;serif" w:hAnsi="Times New Roman;Times;serif"/>
                  <w:b w:val="false"/>
                  <w:i w:val="false"/>
                  <w:caps w:val="false"/>
                  <w:smallCaps w:val="false"/>
                  <w:sz w:val="20"/>
                </w:rPr>
                <w:t>Certification</w:t>
              </w:r>
            </w:hyperlink>
          </w:p>
        </w:tc>
      </w:tr>
      <w:tr>
        <w:trPr/>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pPr>
            <w:r>
              <w:rPr/>
              <w:t>​</w:t>
            </w:r>
          </w:p>
        </w:tc>
      </w:tr>
      <w:tr>
        <w:trPr/>
        <w:tc>
          <w:tcPr>
            <w:tcW w:w="7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pPr>
            <w:r>
              <w:rPr/>
              <w:t>​</w:t>
            </w:r>
          </w:p>
        </w:tc>
      </w:tr>
      <w:tr>
        <w:trPr/>
        <w:tc>
          <w:tcPr>
            <w:tcW w:w="7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w:t>
            </w:r>
          </w:p>
        </w:tc>
      </w:tr>
      <w:tr>
        <w:trPr/>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pPr>
            <w:r>
              <w:rPr/>
              <w:t>​</w:t>
            </w:r>
          </w:p>
        </w:tc>
      </w:tr>
      <w:tr>
        <w:trPr/>
        <w:tc>
          <w:tcPr>
            <w:tcW w:w="7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pPr>
            <w:r>
              <w:rPr/>
              <w:t>​</w:t>
            </w:r>
          </w:p>
        </w:tc>
      </w:tr>
      <w:tr>
        <w:trPr/>
        <w:tc>
          <w:tcPr>
            <w:tcW w:w="7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pPr>
            <w:r>
              <w:rPr/>
              <w:t>​</w:t>
            </w:r>
          </w:p>
        </w:tc>
      </w:tr>
      <w:tr>
        <w:trPr/>
        <w:tc>
          <w:tcPr>
            <w:tcW w:w="7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pPr>
            <w:r>
              <w:rPr/>
              <w:t>​</w:t>
            </w:r>
          </w:p>
        </w:tc>
      </w:tr>
      <w:tr>
        <w:trPr/>
        <w:tc>
          <w:tcPr>
            <w:tcW w:w="7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pPr>
            <w:r>
              <w:rPr/>
              <w:t>​</w:t>
            </w:r>
          </w:p>
        </w:tc>
      </w:tr>
      <w:tr>
        <w:trPr/>
        <w:tc>
          <w:tcPr>
            <w:tcW w:w="7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rFonts w:ascii="Helvetica;sans-serif" w:hAnsi="Helvetica;sans-serif"/>
          <w:sz w:val="22"/>
        </w:rPr>
      </w:pPr>
      <w:r>
        <w:rPr>
          <w:rFonts w:ascii="Helvetica;sans-serif" w:hAnsi="Helvetica;sans-serif"/>
          <w:sz w:val="22"/>
        </w:rPr>
        <w:t>_______________</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pPr>
      <w:bookmarkStart w:id="1084" w:name="_2bac6be1_9490_4598_b7a6_cbf69fbd478f"/>
      <w:bookmarkEnd w:id="1084"/>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107" w:type="dxa"/>
        <w:jc w:val="left"/>
        <w:tblInd w:w="0" w:type="dxa"/>
        <w:tblLayout w:type="fixed"/>
        <w:tblCellMar>
          <w:top w:w="0" w:type="dxa"/>
          <w:left w:w="0" w:type="dxa"/>
          <w:bottom w:w="0" w:type="dxa"/>
          <w:right w:w="0" w:type="dxa"/>
        </w:tblCellMar>
      </w:tblPr>
      <w:tblGrid>
        <w:gridCol w:w="1846"/>
        <w:gridCol w:w="426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172210" cy="175260"/>
                      <wp:effectExtent l="0" t="0" r="0" b="0"/>
                      <wp:wrapNone/>
                      <wp:docPr id="290" name="Frame290"/>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705735" cy="175260"/>
                      <wp:effectExtent l="0" t="0" r="0" b="0"/>
                      <wp:wrapNone/>
                      <wp:docPr id="291" name="Frame291"/>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 </w:t>
            </w:r>
          </w:p>
        </w:tc>
        <w:tc>
          <w:tcPr>
            <w:tcW w:w="4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Kronos Worldwide, Inc.</w:t>
            </w:r>
          </w:p>
        </w:tc>
      </w:tr>
      <w:tr>
        <w:trPr/>
        <w:tc>
          <w:tcPr>
            <w:tcW w:w="1846" w:type="dxa"/>
            <w:tcBorders/>
            <w:vAlign w:val="center"/>
          </w:tcPr>
          <w:p>
            <w:pPr>
              <w:pStyle w:val="TableContents"/>
              <w:bidi w:val="0"/>
              <w:spacing w:before="0" w:after="0"/>
              <w:ind w:left="0" w:right="0" w:hanging="0"/>
              <w:jc w:val="left"/>
              <w:rPr/>
            </w:pPr>
            <w:r>
              <w:rPr/>
              <w:t>​</w:t>
            </w:r>
          </w:p>
        </w:tc>
        <w:tc>
          <w:tcPr>
            <w:tcW w:w="42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84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4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Bradley E. Troutman</w:t>
            </w:r>
          </w:p>
        </w:tc>
      </w:tr>
      <w:tr>
        <w:trPr/>
        <w:tc>
          <w:tcPr>
            <w:tcW w:w="1846" w:type="dxa"/>
            <w:tcBorders/>
            <w:vAlign w:val="center"/>
          </w:tcPr>
          <w:p>
            <w:pPr>
              <w:pStyle w:val="TableContents"/>
              <w:bidi w:val="0"/>
              <w:spacing w:before="0" w:after="0"/>
              <w:ind w:left="0" w:right="0" w:hanging="0"/>
              <w:jc w:val="left"/>
              <w:rPr/>
            </w:pPr>
            <w:r>
              <w:rPr/>
              <w:t>​</w:t>
            </w:r>
          </w:p>
        </w:tc>
        <w:tc>
          <w:tcPr>
            <w:tcW w:w="42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Bradley E. Troutman</w:t>
            </w:r>
          </w:p>
        </w:tc>
      </w:tr>
      <w:tr>
        <w:trPr/>
        <w:tc>
          <w:tcPr>
            <w:tcW w:w="184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4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Bryan S. Bell</w:t>
            </w:r>
          </w:p>
        </w:tc>
      </w:tr>
      <w:tr>
        <w:trPr/>
        <w:tc>
          <w:tcPr>
            <w:tcW w:w="184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42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Bryan S. Bell</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Controller, Global Finance)</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00"/>
        <w:ind w:left="0" w:right="0" w:hanging="0"/>
        <w:jc w:val="right"/>
        <w:rPr>
          <w:rFonts w:ascii="Times New Roman;Times;serif" w:hAnsi="Times New Roman;Times;serif"/>
          <w:b/>
          <w:sz w:val="20"/>
        </w:rPr>
      </w:pPr>
      <w:bookmarkStart w:id="1085" w:name="kro-20260630xex31d1.htm"/>
      <w:bookmarkStart w:id="1086" w:name="kskro20260630xex31d1"/>
      <w:bookmarkEnd w:id="1085"/>
      <w:bookmarkEnd w:id="1086"/>
      <w:r>
        <w:rPr>
          <w:rFonts w:ascii="Times New Roman;Times;serif" w:hAnsi="Times New Roman;Times;serif"/>
          <w:b/>
          <w:sz w:val="20"/>
        </w:rPr>
        <w:t>Exhibit 31.1</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Brian W. Christian, certify that:</w:t>
      </w:r>
    </w:p>
    <w:tbl>
      <w:tblPr>
        <w:tblW w:w="6535" w:type="dxa"/>
        <w:jc w:val="left"/>
        <w:tblInd w:w="0" w:type="dxa"/>
        <w:tblLayout w:type="fixed"/>
        <w:tblCellMar>
          <w:top w:w="0" w:type="dxa"/>
          <w:left w:w="0" w:type="dxa"/>
          <w:bottom w:w="0" w:type="dxa"/>
          <w:right w:w="0" w:type="dxa"/>
        </w:tblCellMar>
      </w:tblPr>
      <w:tblGrid>
        <w:gridCol w:w="185"/>
        <w:gridCol w:w="6350"/>
      </w:tblGrid>
      <w:tr>
        <w:trPr/>
        <w:tc>
          <w:tcPr>
            <w:tcW w:w="18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635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 have reviewed this quarterly report on Form 10-Q of Kronos Worldwide,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086" w:type="dxa"/>
        <w:jc w:val="left"/>
        <w:tblInd w:w="0" w:type="dxa"/>
        <w:tblLayout w:type="fixed"/>
        <w:tblCellMar>
          <w:top w:w="0" w:type="dxa"/>
          <w:left w:w="0" w:type="dxa"/>
          <w:bottom w:w="0" w:type="dxa"/>
          <w:right w:w="0" w:type="dxa"/>
        </w:tblCellMar>
      </w:tblPr>
      <w:tblGrid>
        <w:gridCol w:w="208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24610" cy="175260"/>
                      <wp:effectExtent l="0" t="0" r="0" b="0"/>
                      <wp:wrapNone/>
                      <wp:docPr id="292" name="Frame292"/>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W. Christian</w:t>
            </w:r>
          </w:p>
        </w:tc>
      </w:tr>
      <w:tr>
        <w:trPr/>
        <w:tc>
          <w:tcPr>
            <w:tcW w:w="20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W. Christian</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087" w:name="kro-20260630xex31d2.htm"/>
      <w:bookmarkStart w:id="1088" w:name="kskro20260630xex31d2"/>
      <w:bookmarkEnd w:id="1087"/>
      <w:bookmarkEnd w:id="1088"/>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Bradley E. Troutman, certify that:</w:t>
      </w:r>
    </w:p>
    <w:tbl>
      <w:tblPr>
        <w:tblW w:w="6535" w:type="dxa"/>
        <w:jc w:val="left"/>
        <w:tblInd w:w="0" w:type="dxa"/>
        <w:tblLayout w:type="fixed"/>
        <w:tblCellMar>
          <w:top w:w="0" w:type="dxa"/>
          <w:left w:w="0" w:type="dxa"/>
          <w:bottom w:w="0" w:type="dxa"/>
          <w:right w:w="0" w:type="dxa"/>
        </w:tblCellMar>
      </w:tblPr>
      <w:tblGrid>
        <w:gridCol w:w="185"/>
        <w:gridCol w:w="635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Kronos Worldwide,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101" w:type="dxa"/>
        <w:jc w:val="left"/>
        <w:tblInd w:w="0" w:type="dxa"/>
        <w:tblLayout w:type="fixed"/>
        <w:tblCellMar>
          <w:top w:w="0" w:type="dxa"/>
          <w:left w:w="0" w:type="dxa"/>
          <w:bottom w:w="28" w:type="dxa"/>
          <w:right w:w="0" w:type="dxa"/>
        </w:tblCellMar>
      </w:tblPr>
      <w:tblGrid>
        <w:gridCol w:w="2101"/>
      </w:tblGrid>
      <w:tr>
        <w:trPr/>
        <w:tc>
          <w:tcPr>
            <w:tcW w:w="21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Bradley E. Troutman</w:t>
            </w:r>
          </w:p>
        </w:tc>
      </w:tr>
      <w:tr>
        <w:trPr/>
        <w:tc>
          <w:tcPr>
            <w:tcW w:w="21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Bradley E. Troutman</w:t>
            </w:r>
          </w:p>
        </w:tc>
      </w:tr>
      <w:tr>
        <w:trPr/>
        <w:tc>
          <w:tcPr>
            <w:tcW w:w="210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089" w:name="kro-20260630xex32d1.htm"/>
      <w:bookmarkStart w:id="1090" w:name="kskro20260630xex32d1"/>
      <w:bookmarkEnd w:id="1089"/>
      <w:bookmarkEnd w:id="1090"/>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Kronos Worldwide, Inc. (the Company) on Form 10-Q for the quarter ended June 30, 2026 as filed with the Securities and Exchange Commission on the date hereof (the Report), I, Brian W. Christian, Chief Executive Officer of the Company, and I, Bradley E. Troutman, Chief Financial Officer of the Company, certify, pursuant to 18 U.S.C. § 1350, as adopted pursuant to § 906 of the Sarbanes-Oxley Act of 2002, that:</w:t>
      </w:r>
    </w:p>
    <w:tbl>
      <w:tblPr>
        <w:tblW w:w="9805" w:type="dxa"/>
        <w:jc w:val="left"/>
        <w:tblInd w:w="0" w:type="dxa"/>
        <w:tblLayout w:type="fixed"/>
        <w:tblCellMar>
          <w:top w:w="0" w:type="dxa"/>
          <w:left w:w="0" w:type="dxa"/>
          <w:bottom w:w="0" w:type="dxa"/>
          <w:right w:w="0" w:type="dxa"/>
        </w:tblCellMar>
      </w:tblPr>
      <w:tblGrid>
        <w:gridCol w:w="245"/>
        <w:gridCol w:w="95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2101" w:type="dxa"/>
        <w:jc w:val="left"/>
        <w:tblInd w:w="0" w:type="dxa"/>
        <w:tblLayout w:type="fixed"/>
        <w:tblCellMar>
          <w:top w:w="0" w:type="dxa"/>
          <w:left w:w="0" w:type="dxa"/>
          <w:bottom w:w="28" w:type="dxa"/>
          <w:right w:w="0" w:type="dxa"/>
        </w:tblCellMar>
      </w:tblPr>
      <w:tblGrid>
        <w:gridCol w:w="2101"/>
      </w:tblGrid>
      <w:tr>
        <w:trPr/>
        <w:tc>
          <w:tcPr>
            <w:tcW w:w="21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W. Christian</w:t>
            </w:r>
          </w:p>
        </w:tc>
      </w:tr>
      <w:tr>
        <w:trPr/>
        <w:tc>
          <w:tcPr>
            <w:tcW w:w="21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W. Christian</w:t>
            </w:r>
          </w:p>
        </w:tc>
      </w:tr>
      <w:tr>
        <w:trPr/>
        <w:tc>
          <w:tcPr>
            <w:tcW w:w="210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101" w:type="dxa"/>
            <w:tcBorders/>
            <w:tcMar>
              <w:bottom w:w="0" w:type="dxa"/>
            </w:tcMar>
            <w:vAlign w:val="center"/>
          </w:tcPr>
          <w:p>
            <w:pPr>
              <w:pStyle w:val="TableContents"/>
              <w:bidi w:val="0"/>
              <w:spacing w:before="0" w:after="0"/>
              <w:ind w:left="0" w:right="0" w:hanging="0"/>
              <w:jc w:val="left"/>
              <w:rPr/>
            </w:pPr>
            <w:r>
              <w:rPr/>
              <w:t>​</w:t>
            </w:r>
          </w:p>
        </w:tc>
      </w:tr>
      <w:tr>
        <w:trPr/>
        <w:tc>
          <w:tcPr>
            <w:tcW w:w="2101" w:type="dxa"/>
            <w:tcBorders/>
            <w:tcMar>
              <w:bottom w:w="0" w:type="dxa"/>
            </w:tcMar>
            <w:vAlign w:val="center"/>
          </w:tcPr>
          <w:p>
            <w:pPr>
              <w:pStyle w:val="TableContents"/>
              <w:bidi w:val="0"/>
              <w:spacing w:before="0" w:after="0"/>
              <w:ind w:left="0" w:right="0" w:hanging="0"/>
              <w:jc w:val="left"/>
              <w:rPr/>
            </w:pPr>
            <w:r>
              <w:rPr/>
              <w:t>​</w:t>
            </w:r>
          </w:p>
        </w:tc>
      </w:tr>
      <w:tr>
        <w:trPr/>
        <w:tc>
          <w:tcPr>
            <w:tcW w:w="2101" w:type="dxa"/>
            <w:tcBorders/>
            <w:tcMar>
              <w:bottom w:w="0" w:type="dxa"/>
            </w:tcMar>
            <w:vAlign w:val="center"/>
          </w:tcPr>
          <w:p>
            <w:pPr>
              <w:pStyle w:val="TableContents"/>
              <w:bidi w:val="0"/>
              <w:spacing w:before="0" w:after="0"/>
              <w:ind w:left="0" w:right="0" w:hanging="0"/>
              <w:jc w:val="left"/>
              <w:rPr/>
            </w:pPr>
            <w:r>
              <w:rPr/>
              <w:t>​</w:t>
            </w:r>
          </w:p>
        </w:tc>
      </w:tr>
      <w:tr>
        <w:trPr/>
        <w:tc>
          <w:tcPr>
            <w:tcW w:w="21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Bradley E. Troutman</w:t>
            </w:r>
          </w:p>
        </w:tc>
      </w:tr>
      <w:tr>
        <w:trPr/>
        <w:tc>
          <w:tcPr>
            <w:tcW w:w="21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Bradley E. Troutman</w:t>
            </w:r>
          </w:p>
        </w:tc>
      </w:tr>
      <w:tr>
        <w:trPr/>
        <w:tc>
          <w:tcPr>
            <w:tcW w:w="210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August 5,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14148</Words>
  <Characters>75717</Characters>
  <CharactersWithSpaces>91983</CharactersWithSpaces>
  <Paragraphs>5194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